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B343A" w:rsidRPr="00C210B7" w:rsidRDefault="006455FD" w:rsidP="005D25FE">
      <w:pPr>
        <w:pStyle w:val="Ttulo1"/>
        <w:spacing w:before="0"/>
        <w:jc w:val="both"/>
        <w:rPr>
          <w:rFonts w:ascii="Tahoma" w:hAnsi="Tahoma" w:cs="Tahoma"/>
          <w:b/>
          <w:lang w:val="es-ES"/>
        </w:rPr>
      </w:pPr>
      <w:bookmarkStart w:id="0" w:name="_GoBack"/>
      <w:bookmarkEnd w:id="0"/>
      <w:r w:rsidRPr="00C210B7">
        <w:rPr>
          <w:rFonts w:ascii="Tahoma" w:hAnsi="Tahoma" w:cs="Tahoma"/>
          <w:i w:val="0"/>
          <w:noProof/>
          <w:lang w:val="es-EC" w:eastAsia="es-EC"/>
        </w:rPr>
        <w:drawing>
          <wp:anchor distT="0" distB="0" distL="114300" distR="114300" simplePos="0" relativeHeight="251670528" behindDoc="1" locked="0" layoutInCell="1" allowOverlap="1" wp14:anchorId="23391C65" wp14:editId="61031E7D">
            <wp:simplePos x="0" y="0"/>
            <wp:positionH relativeFrom="column">
              <wp:posOffset>4968240</wp:posOffset>
            </wp:positionH>
            <wp:positionV relativeFrom="paragraph">
              <wp:posOffset>-1625600</wp:posOffset>
            </wp:positionV>
            <wp:extent cx="1615440" cy="445135"/>
            <wp:effectExtent l="0" t="0" r="3810" b="0"/>
            <wp:wrapTight wrapText="bothSides">
              <wp:wrapPolygon edited="0">
                <wp:start x="0" y="0"/>
                <wp:lineTo x="0" y="20337"/>
                <wp:lineTo x="21396" y="20337"/>
                <wp:lineTo x="21396" y="0"/>
                <wp:lineTo x="0" y="0"/>
              </wp:wrapPolygon>
            </wp:wrapTight>
            <wp:docPr id="1714522" name="1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4522" name="1 Imagen"/>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615440" cy="445135"/>
                    </a:xfrm>
                    <a:prstGeom prst="rect">
                      <a:avLst/>
                    </a:prstGeom>
                    <a:noFill/>
                    <a:ln>
                      <a:noFill/>
                    </a:ln>
                    <a:extLst/>
                  </pic:spPr>
                </pic:pic>
              </a:graphicData>
            </a:graphic>
            <wp14:sizeRelH relativeFrom="page">
              <wp14:pctWidth>0</wp14:pctWidth>
            </wp14:sizeRelH>
            <wp14:sizeRelV relativeFrom="page">
              <wp14:pctHeight>0</wp14:pctHeight>
            </wp14:sizeRelV>
          </wp:anchor>
        </w:drawing>
      </w:r>
      <w:r w:rsidRPr="00C210B7">
        <w:rPr>
          <w:rFonts w:ascii="Tahoma" w:hAnsi="Tahoma" w:cs="Tahoma"/>
          <w:i w:val="0"/>
          <w:noProof/>
          <w:lang w:val="es-EC" w:eastAsia="es-EC"/>
        </w:rPr>
        <mc:AlternateContent>
          <mc:Choice Requires="wps">
            <w:drawing>
              <wp:anchor distT="0" distB="0" distL="114300" distR="114300" simplePos="0" relativeHeight="251669504" behindDoc="0" locked="0" layoutInCell="1" allowOverlap="1" wp14:anchorId="2DF56C74" wp14:editId="3B4E6121">
                <wp:simplePos x="0" y="0"/>
                <wp:positionH relativeFrom="column">
                  <wp:posOffset>3725545</wp:posOffset>
                </wp:positionH>
                <wp:positionV relativeFrom="paragraph">
                  <wp:posOffset>-1060450</wp:posOffset>
                </wp:positionV>
                <wp:extent cx="2910205" cy="771525"/>
                <wp:effectExtent l="0" t="0" r="0" b="9525"/>
                <wp:wrapNone/>
                <wp:docPr id="5"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10205" cy="771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671A9" w:rsidRPr="002671A9" w:rsidRDefault="00C32BBF" w:rsidP="00FE0A40">
                            <w:pPr>
                              <w:spacing w:after="0" w:line="240" w:lineRule="auto"/>
                              <w:jc w:val="right"/>
                              <w:rPr>
                                <w:rFonts w:ascii="Arno Pro Display" w:hAnsi="Arno Pro Display"/>
                                <w:sz w:val="42"/>
                                <w:lang w:val="es-ES"/>
                                <w14:shadow w14:blurRad="63500" w14:dist="0" w14:dir="3600000" w14:sx="100000" w14:sy="100000" w14:kx="0" w14:ky="0" w14:algn="tl">
                                  <w14:srgbClr w14:val="000000">
                                    <w14:alpha w14:val="30000"/>
                                  </w14:srgbClr>
                                </w14:shadow>
                                <w14:textOutline w14:w="9207" w14:cap="flat" w14:cmpd="sng" w14:algn="ctr">
                                  <w14:solidFill>
                                    <w14:srgbClr w14:val="FFFFFF"/>
                                  </w14:solidFill>
                                  <w14:prstDash w14:val="solid"/>
                                  <w14:round/>
                                </w14:textOutline>
                                <w14:textFill>
                                  <w14:solidFill>
                                    <w14:srgbClr w14:val="FFFFFF"/>
                                  </w14:solidFill>
                                </w14:textFill>
                              </w:rPr>
                            </w:pPr>
                            <w:r>
                              <w:rPr>
                                <w:rFonts w:ascii="Arno Pro Display" w:hAnsi="Arno Pro Display"/>
                                <w:sz w:val="42"/>
                                <w:lang w:val="es-ES"/>
                                <w14:shadow w14:blurRad="63500" w14:dist="0" w14:dir="3600000" w14:sx="100000" w14:sy="100000" w14:kx="0" w14:ky="0" w14:algn="tl">
                                  <w14:srgbClr w14:val="000000">
                                    <w14:alpha w14:val="30000"/>
                                  </w14:srgbClr>
                                </w14:shadow>
                                <w14:textOutline w14:w="9207" w14:cap="flat" w14:cmpd="sng" w14:algn="ctr">
                                  <w14:solidFill>
                                    <w14:srgbClr w14:val="FFFFFF"/>
                                  </w14:solidFill>
                                  <w14:prstDash w14:val="solid"/>
                                  <w14:round/>
                                </w14:textOutline>
                                <w14:textFill>
                                  <w14:solidFill>
                                    <w14:srgbClr w14:val="FFFFFF"/>
                                  </w14:solidFill>
                                </w14:textFill>
                              </w:rPr>
                              <w:t>Re</w:t>
                            </w:r>
                            <w:r w:rsidR="002671A9" w:rsidRPr="002671A9">
                              <w:rPr>
                                <w:rFonts w:ascii="Arno Pro Display" w:hAnsi="Arno Pro Display"/>
                                <w:sz w:val="42"/>
                                <w:lang w:val="es-ES"/>
                                <w14:shadow w14:blurRad="63500" w14:dist="0" w14:dir="3600000" w14:sx="100000" w14:sy="100000" w14:kx="0" w14:ky="0" w14:algn="tl">
                                  <w14:srgbClr w14:val="000000">
                                    <w14:alpha w14:val="30000"/>
                                  </w14:srgbClr>
                                </w14:shadow>
                                <w14:textOutline w14:w="9207" w14:cap="flat" w14:cmpd="sng" w14:algn="ctr">
                                  <w14:solidFill>
                                    <w14:srgbClr w14:val="FFFFFF"/>
                                  </w14:solidFill>
                                  <w14:prstDash w14:val="solid"/>
                                  <w14:round/>
                                </w14:textOutline>
                                <w14:textFill>
                                  <w14:solidFill>
                                    <w14:srgbClr w14:val="FFFFFF"/>
                                  </w14:solidFill>
                                </w14:textFill>
                              </w:rPr>
                              <w:t xml:space="preserve">cordatorio </w:t>
                            </w:r>
                          </w:p>
                          <w:p w:rsidR="002671A9" w:rsidRPr="00491E34" w:rsidRDefault="00C32BBF" w:rsidP="00FE0A40">
                            <w:pPr>
                              <w:spacing w:after="0" w:line="240" w:lineRule="auto"/>
                              <w:jc w:val="right"/>
                              <w:rPr>
                                <w:rFonts w:ascii="Arno Pro Display" w:hAnsi="Arno Pro Display"/>
                                <w:sz w:val="30"/>
                                <w:lang w:val="es-ES"/>
                                <w14:shadow w14:blurRad="63500" w14:dist="0" w14:dir="3600000" w14:sx="100000" w14:sy="100000" w14:kx="0" w14:ky="0" w14:algn="tl">
                                  <w14:srgbClr w14:val="000000">
                                    <w14:alpha w14:val="30000"/>
                                  </w14:srgbClr>
                                </w14:shadow>
                                <w14:textOutline w14:w="9207" w14:cap="flat" w14:cmpd="sng" w14:algn="ctr">
                                  <w14:solidFill>
                                    <w14:srgbClr w14:val="FFFFFF"/>
                                  </w14:solidFill>
                                  <w14:prstDash w14:val="solid"/>
                                  <w14:round/>
                                </w14:textOutline>
                                <w14:textFill>
                                  <w14:solidFill>
                                    <w14:srgbClr w14:val="FFFFFF"/>
                                  </w14:solidFill>
                                </w14:textFill>
                              </w:rPr>
                            </w:pPr>
                            <w:r>
                              <w:rPr>
                                <w:rFonts w:ascii="Arno Pro Display" w:hAnsi="Arno Pro Display"/>
                                <w:sz w:val="30"/>
                                <w:lang w:val="es-ES"/>
                                <w14:shadow w14:blurRad="63500" w14:dist="0" w14:dir="3600000" w14:sx="100000" w14:sy="100000" w14:kx="0" w14:ky="0" w14:algn="tl">
                                  <w14:srgbClr w14:val="000000">
                                    <w14:alpha w14:val="30000"/>
                                  </w14:srgbClr>
                                </w14:shadow>
                                <w14:textOutline w14:w="9207" w14:cap="flat" w14:cmpd="sng" w14:algn="ctr">
                                  <w14:solidFill>
                                    <w14:srgbClr w14:val="FFFFFF"/>
                                  </w14:solidFill>
                                  <w14:prstDash w14:val="solid"/>
                                  <w14:round/>
                                </w14:textOutline>
                                <w14:textFill>
                                  <w14:solidFill>
                                    <w14:srgbClr w14:val="FFFFFF"/>
                                  </w14:solidFill>
                                </w14:textFill>
                              </w:rPr>
                              <w:t xml:space="preserve">Flash Informativo </w:t>
                            </w:r>
                            <w:r w:rsidR="00C210B7">
                              <w:rPr>
                                <w:rFonts w:ascii="Arno Pro Display" w:hAnsi="Arno Pro Display"/>
                                <w:sz w:val="30"/>
                                <w:lang w:val="es-ES"/>
                                <w14:shadow w14:blurRad="63500" w14:dist="0" w14:dir="3600000" w14:sx="100000" w14:sy="100000" w14:kx="0" w14:ky="0" w14:algn="tl">
                                  <w14:srgbClr w14:val="000000">
                                    <w14:alpha w14:val="30000"/>
                                  </w14:srgbClr>
                                </w14:shadow>
                                <w14:textOutline w14:w="9207" w14:cap="flat" w14:cmpd="sng" w14:algn="ctr">
                                  <w14:solidFill>
                                    <w14:srgbClr w14:val="FFFFFF"/>
                                  </w14:solidFill>
                                  <w14:prstDash w14:val="solid"/>
                                  <w14:round/>
                                </w14:textOutline>
                                <w14:textFill>
                                  <w14:solidFill>
                                    <w14:srgbClr w14:val="FFFFFF"/>
                                  </w14:solidFill>
                                </w14:textFill>
                              </w:rPr>
                              <w:t>3</w:t>
                            </w:r>
                            <w:r w:rsidR="002671A9" w:rsidRPr="00491E34">
                              <w:rPr>
                                <w:rFonts w:ascii="Arno Pro Display" w:hAnsi="Arno Pro Display"/>
                                <w:sz w:val="30"/>
                                <w:lang w:val="es-ES"/>
                                <w14:shadow w14:blurRad="63500" w14:dist="0" w14:dir="3600000" w14:sx="100000" w14:sy="100000" w14:kx="0" w14:ky="0" w14:algn="tl">
                                  <w14:srgbClr w14:val="000000">
                                    <w14:alpha w14:val="30000"/>
                                  </w14:srgbClr>
                                </w14:shadow>
                                <w14:textOutline w14:w="9207" w14:cap="flat" w14:cmpd="sng" w14:algn="ctr">
                                  <w14:solidFill>
                                    <w14:srgbClr w14:val="FFFFFF"/>
                                  </w14:solidFill>
                                  <w14:prstDash w14:val="solid"/>
                                  <w14:round/>
                                </w14:textOutline>
                                <w14:textFill>
                                  <w14:solidFill>
                                    <w14:srgbClr w14:val="FFFFFF"/>
                                  </w14:solidFill>
                                </w14:textFill>
                              </w:rPr>
                              <w:t>-</w:t>
                            </w:r>
                            <w:r>
                              <w:rPr>
                                <w:rFonts w:ascii="Arno Pro Display" w:hAnsi="Arno Pro Display"/>
                                <w:sz w:val="30"/>
                                <w:lang w:val="es-ES"/>
                                <w14:shadow w14:blurRad="63500" w14:dist="0" w14:dir="3600000" w14:sx="100000" w14:sy="100000" w14:kx="0" w14:ky="0" w14:algn="tl">
                                  <w14:srgbClr w14:val="000000">
                                    <w14:alpha w14:val="30000"/>
                                  </w14:srgbClr>
                                </w14:shadow>
                                <w14:textOutline w14:w="9207" w14:cap="flat" w14:cmpd="sng" w14:algn="ctr">
                                  <w14:solidFill>
                                    <w14:srgbClr w14:val="FFFFFF"/>
                                  </w14:solidFill>
                                  <w14:prstDash w14:val="solid"/>
                                  <w14:round/>
                                </w14:textOutline>
                                <w14:textFill>
                                  <w14:solidFill>
                                    <w14:srgbClr w14:val="FFFFFF"/>
                                  </w14:solidFill>
                                </w14:textFill>
                              </w:rPr>
                              <w:t xml:space="preserve">Enero </w:t>
                            </w:r>
                            <w:r w:rsidR="002671A9" w:rsidRPr="00491E34">
                              <w:rPr>
                                <w:rFonts w:ascii="Arno Pro Display" w:hAnsi="Arno Pro Display"/>
                                <w:sz w:val="30"/>
                                <w:lang w:val="es-ES"/>
                                <w14:shadow w14:blurRad="63500" w14:dist="0" w14:dir="3600000" w14:sx="100000" w14:sy="100000" w14:kx="0" w14:ky="0" w14:algn="tl">
                                  <w14:srgbClr w14:val="000000">
                                    <w14:alpha w14:val="30000"/>
                                  </w14:srgbClr>
                                </w14:shadow>
                                <w14:textOutline w14:w="9207" w14:cap="flat" w14:cmpd="sng" w14:algn="ctr">
                                  <w14:solidFill>
                                    <w14:srgbClr w14:val="FFFFFF"/>
                                  </w14:solidFill>
                                  <w14:prstDash w14:val="solid"/>
                                  <w14:round/>
                                </w14:textOutline>
                                <w14:textFill>
                                  <w14:solidFill>
                                    <w14:srgbClr w14:val="FFFFFF"/>
                                  </w14:solidFill>
                                </w14:textFill>
                              </w:rPr>
                              <w:t>201</w:t>
                            </w:r>
                            <w:r>
                              <w:rPr>
                                <w:rFonts w:ascii="Arno Pro Display" w:hAnsi="Arno Pro Display"/>
                                <w:sz w:val="30"/>
                                <w:lang w:val="es-ES"/>
                                <w14:shadow w14:blurRad="63500" w14:dist="0" w14:dir="3600000" w14:sx="100000" w14:sy="100000" w14:kx="0" w14:ky="0" w14:algn="tl">
                                  <w14:srgbClr w14:val="000000">
                                    <w14:alpha w14:val="30000"/>
                                  </w14:srgbClr>
                                </w14:shadow>
                                <w14:textOutline w14:w="9207" w14:cap="flat" w14:cmpd="sng" w14:algn="ctr">
                                  <w14:solidFill>
                                    <w14:srgbClr w14:val="FFFFFF"/>
                                  </w14:solidFill>
                                  <w14:prstDash w14:val="solid"/>
                                  <w14:round/>
                                </w14:textOutline>
                                <w14:textFill>
                                  <w14:solidFill>
                                    <w14:srgbClr w14:val="FFFFFF"/>
                                  </w14:solidFill>
                                </w14:textFill>
                              </w:rPr>
                              <w:t xml:space="preserve">6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Cuadro de texto 2" o:spid="_x0000_s1026" type="#_x0000_t202" style="position:absolute;left:0;text-align:left;margin-left:293.35pt;margin-top:-83.5pt;width:229.15pt;height:60.7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" filled="f" stroked="f">
                <v:textbox>
                  <w:txbxContent>
                    <w:p w:rsidR="002671A9" w:rsidRPr="002671A9" w:rsidRDefault="00C32BBF" w:rsidP="00FE0A40">
                      <w:pPr>
                        <w:spacing w:after="0" w:line="240" w:lineRule="auto"/>
                        <w:jc w:val="right"/>
                        <w:rPr>
                          <w:rFonts w:ascii="Arno Pro Display" w:hAnsi="Arno Pro Display"/>
                          <w:sz w:val="42"/>
                          <w:lang w:val="es-ES"/>
                          <w14:shadow w14:blurRad="63500" w14:dist="0" w14:dir="3600000" w14:sx="100000" w14:sy="100000" w14:kx="0" w14:ky="0" w14:algn="tl">
                            <w14:srgbClr w14:val="000000">
                              <w14:alpha w14:val="30000"/>
                            </w14:srgbClr>
                          </w14:shadow>
                          <w14:textOutline w14:w="9207" w14:cap="flat" w14:cmpd="sng" w14:algn="ctr">
                            <w14:solidFill>
                              <w14:srgbClr w14:val="FFFFFF"/>
                            </w14:solidFill>
                            <w14:prstDash w14:val="solid"/>
                            <w14:round/>
                          </w14:textOutline>
                          <w14:textFill>
                            <w14:solidFill>
                              <w14:srgbClr w14:val="FFFFFF"/>
                            </w14:solidFill>
                          </w14:textFill>
                        </w:rPr>
                      </w:pPr>
                      <w:r>
                        <w:rPr>
                          <w:rFonts w:ascii="Arno Pro Display" w:hAnsi="Arno Pro Display"/>
                          <w:sz w:val="42"/>
                          <w:lang w:val="es-ES"/>
                          <w14:shadow w14:blurRad="63500" w14:dist="0" w14:dir="3600000" w14:sx="100000" w14:sy="100000" w14:kx="0" w14:ky="0" w14:algn="tl">
                            <w14:srgbClr w14:val="000000">
                              <w14:alpha w14:val="30000"/>
                            </w14:srgbClr>
                          </w14:shadow>
                          <w14:textOutline w14:w="9207" w14:cap="flat" w14:cmpd="sng" w14:algn="ctr">
                            <w14:solidFill>
                              <w14:srgbClr w14:val="FFFFFF"/>
                            </w14:solidFill>
                            <w14:prstDash w14:val="solid"/>
                            <w14:round/>
                          </w14:textOutline>
                          <w14:textFill>
                            <w14:solidFill>
                              <w14:srgbClr w14:val="FFFFFF"/>
                            </w14:solidFill>
                          </w14:textFill>
                        </w:rPr>
                        <w:t>Re</w:t>
                      </w:r>
                      <w:r w:rsidR="002671A9" w:rsidRPr="002671A9">
                        <w:rPr>
                          <w:rFonts w:ascii="Arno Pro Display" w:hAnsi="Arno Pro Display"/>
                          <w:sz w:val="42"/>
                          <w:lang w:val="es-ES"/>
                          <w14:shadow w14:blurRad="63500" w14:dist="0" w14:dir="3600000" w14:sx="100000" w14:sy="100000" w14:kx="0" w14:ky="0" w14:algn="tl">
                            <w14:srgbClr w14:val="000000">
                              <w14:alpha w14:val="30000"/>
                            </w14:srgbClr>
                          </w14:shadow>
                          <w14:textOutline w14:w="9207" w14:cap="flat" w14:cmpd="sng" w14:algn="ctr">
                            <w14:solidFill>
                              <w14:srgbClr w14:val="FFFFFF"/>
                            </w14:solidFill>
                            <w14:prstDash w14:val="solid"/>
                            <w14:round/>
                          </w14:textOutline>
                          <w14:textFill>
                            <w14:solidFill>
                              <w14:srgbClr w14:val="FFFFFF"/>
                            </w14:solidFill>
                          </w14:textFill>
                        </w:rPr>
                        <w:t xml:space="preserve">cordatorio </w:t>
                      </w:r>
                    </w:p>
                    <w:p w:rsidR="002671A9" w:rsidRPr="00491E34" w:rsidRDefault="00C32BBF" w:rsidP="00FE0A40">
                      <w:pPr>
                        <w:spacing w:after="0" w:line="240" w:lineRule="auto"/>
                        <w:jc w:val="right"/>
                        <w:rPr>
                          <w:rFonts w:ascii="Arno Pro Display" w:hAnsi="Arno Pro Display"/>
                          <w:sz w:val="30"/>
                          <w:lang w:val="es-ES"/>
                          <w14:shadow w14:blurRad="63500" w14:dist="0" w14:dir="3600000" w14:sx="100000" w14:sy="100000" w14:kx="0" w14:ky="0" w14:algn="tl">
                            <w14:srgbClr w14:val="000000">
                              <w14:alpha w14:val="30000"/>
                            </w14:srgbClr>
                          </w14:shadow>
                          <w14:textOutline w14:w="9207" w14:cap="flat" w14:cmpd="sng" w14:algn="ctr">
                            <w14:solidFill>
                              <w14:srgbClr w14:val="FFFFFF"/>
                            </w14:solidFill>
                            <w14:prstDash w14:val="solid"/>
                            <w14:round/>
                          </w14:textOutline>
                          <w14:textFill>
                            <w14:solidFill>
                              <w14:srgbClr w14:val="FFFFFF"/>
                            </w14:solidFill>
                          </w14:textFill>
                        </w:rPr>
                      </w:pPr>
                      <w:r>
                        <w:rPr>
                          <w:rFonts w:ascii="Arno Pro Display" w:hAnsi="Arno Pro Display"/>
                          <w:sz w:val="30"/>
                          <w:lang w:val="es-ES"/>
                          <w14:shadow w14:blurRad="63500" w14:dist="0" w14:dir="3600000" w14:sx="100000" w14:sy="100000" w14:kx="0" w14:ky="0" w14:algn="tl">
                            <w14:srgbClr w14:val="000000">
                              <w14:alpha w14:val="30000"/>
                            </w14:srgbClr>
                          </w14:shadow>
                          <w14:textOutline w14:w="9207" w14:cap="flat" w14:cmpd="sng" w14:algn="ctr">
                            <w14:solidFill>
                              <w14:srgbClr w14:val="FFFFFF"/>
                            </w14:solidFill>
                            <w14:prstDash w14:val="solid"/>
                            <w14:round/>
                          </w14:textOutline>
                          <w14:textFill>
                            <w14:solidFill>
                              <w14:srgbClr w14:val="FFFFFF"/>
                            </w14:solidFill>
                          </w14:textFill>
                        </w:rPr>
                        <w:t xml:space="preserve">Flash Informativo </w:t>
                      </w:r>
                      <w:r w:rsidR="00C210B7">
                        <w:rPr>
                          <w:rFonts w:ascii="Arno Pro Display" w:hAnsi="Arno Pro Display"/>
                          <w:sz w:val="30"/>
                          <w:lang w:val="es-ES"/>
                          <w14:shadow w14:blurRad="63500" w14:dist="0" w14:dir="3600000" w14:sx="100000" w14:sy="100000" w14:kx="0" w14:ky="0" w14:algn="tl">
                            <w14:srgbClr w14:val="000000">
                              <w14:alpha w14:val="30000"/>
                            </w14:srgbClr>
                          </w14:shadow>
                          <w14:textOutline w14:w="9207" w14:cap="flat" w14:cmpd="sng" w14:algn="ctr">
                            <w14:solidFill>
                              <w14:srgbClr w14:val="FFFFFF"/>
                            </w14:solidFill>
                            <w14:prstDash w14:val="solid"/>
                            <w14:round/>
                          </w14:textOutline>
                          <w14:textFill>
                            <w14:solidFill>
                              <w14:srgbClr w14:val="FFFFFF"/>
                            </w14:solidFill>
                          </w14:textFill>
                        </w:rPr>
                        <w:t>3</w:t>
                      </w:r>
                      <w:r w:rsidR="002671A9" w:rsidRPr="00491E34">
                        <w:rPr>
                          <w:rFonts w:ascii="Arno Pro Display" w:hAnsi="Arno Pro Display"/>
                          <w:sz w:val="30"/>
                          <w:lang w:val="es-ES"/>
                          <w14:shadow w14:blurRad="63500" w14:dist="0" w14:dir="3600000" w14:sx="100000" w14:sy="100000" w14:kx="0" w14:ky="0" w14:algn="tl">
                            <w14:srgbClr w14:val="000000">
                              <w14:alpha w14:val="30000"/>
                            </w14:srgbClr>
                          </w14:shadow>
                          <w14:textOutline w14:w="9207" w14:cap="flat" w14:cmpd="sng" w14:algn="ctr">
                            <w14:solidFill>
                              <w14:srgbClr w14:val="FFFFFF"/>
                            </w14:solidFill>
                            <w14:prstDash w14:val="solid"/>
                            <w14:round/>
                          </w14:textOutline>
                          <w14:textFill>
                            <w14:solidFill>
                              <w14:srgbClr w14:val="FFFFFF"/>
                            </w14:solidFill>
                          </w14:textFill>
                        </w:rPr>
                        <w:t>-</w:t>
                      </w:r>
                      <w:r>
                        <w:rPr>
                          <w:rFonts w:ascii="Arno Pro Display" w:hAnsi="Arno Pro Display"/>
                          <w:sz w:val="30"/>
                          <w:lang w:val="es-ES"/>
                          <w14:shadow w14:blurRad="63500" w14:dist="0" w14:dir="3600000" w14:sx="100000" w14:sy="100000" w14:kx="0" w14:ky="0" w14:algn="tl">
                            <w14:srgbClr w14:val="000000">
                              <w14:alpha w14:val="30000"/>
                            </w14:srgbClr>
                          </w14:shadow>
                          <w14:textOutline w14:w="9207" w14:cap="flat" w14:cmpd="sng" w14:algn="ctr">
                            <w14:solidFill>
                              <w14:srgbClr w14:val="FFFFFF"/>
                            </w14:solidFill>
                            <w14:prstDash w14:val="solid"/>
                            <w14:round/>
                          </w14:textOutline>
                          <w14:textFill>
                            <w14:solidFill>
                              <w14:srgbClr w14:val="FFFFFF"/>
                            </w14:solidFill>
                          </w14:textFill>
                        </w:rPr>
                        <w:t xml:space="preserve">Enero </w:t>
                      </w:r>
                      <w:r w:rsidR="002671A9" w:rsidRPr="00491E34">
                        <w:rPr>
                          <w:rFonts w:ascii="Arno Pro Display" w:hAnsi="Arno Pro Display"/>
                          <w:sz w:val="30"/>
                          <w:lang w:val="es-ES"/>
                          <w14:shadow w14:blurRad="63500" w14:dist="0" w14:dir="3600000" w14:sx="100000" w14:sy="100000" w14:kx="0" w14:ky="0" w14:algn="tl">
                            <w14:srgbClr w14:val="000000">
                              <w14:alpha w14:val="30000"/>
                            </w14:srgbClr>
                          </w14:shadow>
                          <w14:textOutline w14:w="9207" w14:cap="flat" w14:cmpd="sng" w14:algn="ctr">
                            <w14:solidFill>
                              <w14:srgbClr w14:val="FFFFFF"/>
                            </w14:solidFill>
                            <w14:prstDash w14:val="solid"/>
                            <w14:round/>
                          </w14:textOutline>
                          <w14:textFill>
                            <w14:solidFill>
                              <w14:srgbClr w14:val="FFFFFF"/>
                            </w14:solidFill>
                          </w14:textFill>
                        </w:rPr>
                        <w:t>201</w:t>
                      </w:r>
                      <w:r>
                        <w:rPr>
                          <w:rFonts w:ascii="Arno Pro Display" w:hAnsi="Arno Pro Display"/>
                          <w:sz w:val="30"/>
                          <w:lang w:val="es-ES"/>
                          <w14:shadow w14:blurRad="63500" w14:dist="0" w14:dir="3600000" w14:sx="100000" w14:sy="100000" w14:kx="0" w14:ky="0" w14:algn="tl">
                            <w14:srgbClr w14:val="000000">
                              <w14:alpha w14:val="30000"/>
                            </w14:srgbClr>
                          </w14:shadow>
                          <w14:textOutline w14:w="9207" w14:cap="flat" w14:cmpd="sng" w14:algn="ctr">
                            <w14:solidFill>
                              <w14:srgbClr w14:val="FFFFFF"/>
                            </w14:solidFill>
                            <w14:prstDash w14:val="solid"/>
                            <w14:round/>
                          </w14:textOutline>
                          <w14:textFill>
                            <w14:solidFill>
                              <w14:srgbClr w14:val="FFFFFF"/>
                            </w14:solidFill>
                          </w14:textFill>
                        </w:rPr>
                        <w:t xml:space="preserve">6 </w:t>
                      </w:r>
                    </w:p>
                  </w:txbxContent>
                </v:textbox>
              </v:shape>
            </w:pict>
          </mc:Fallback>
        </mc:AlternateContent>
      </w:r>
      <w:r w:rsidR="00FE0A40" w:rsidRPr="00C210B7">
        <w:rPr>
          <w:rFonts w:ascii="Tahoma" w:hAnsi="Tahoma" w:cs="Tahoma"/>
          <w:i w:val="0"/>
          <w:noProof/>
          <w:lang w:val="es-EC" w:eastAsia="es-EC"/>
        </w:rPr>
        <mc:AlternateContent>
          <mc:Choice Requires="wps">
            <w:drawing>
              <wp:anchor distT="0" distB="0" distL="114300" distR="114300" simplePos="0" relativeHeight="251659264" behindDoc="1" locked="0" layoutInCell="1" allowOverlap="1" wp14:anchorId="0FD720CE" wp14:editId="4B124A10">
                <wp:simplePos x="0" y="0"/>
                <wp:positionH relativeFrom="margin">
                  <wp:align>center</wp:align>
                </wp:positionH>
                <wp:positionV relativeFrom="topMargin">
                  <wp:posOffset>678815</wp:posOffset>
                </wp:positionV>
                <wp:extent cx="6743700" cy="885825"/>
                <wp:effectExtent l="95250" t="38100" r="97790" b="161925"/>
                <wp:wrapNone/>
                <wp:docPr id="1" name="Rectangle 1"/>
                <wp:cNvGraphicFramePr/>
                <a:graphic xmlns:a="http://schemas.openxmlformats.org/drawingml/2006/main">
                  <a:graphicData uri="http://schemas.microsoft.com/office/word/2010/wordprocessingShape">
                    <wps:wsp>
                      <wps:cNvSpPr/>
                      <wps:spPr>
                        <a:xfrm>
                          <a:off x="0" y="0"/>
                          <a:ext cx="6743700" cy="885825"/>
                        </a:xfrm>
                        <a:prstGeom prst="rect">
                          <a:avLst/>
                        </a:prstGeom>
                        <a:ln>
                          <a:noFill/>
                        </a:ln>
                        <a:effectLst>
                          <a:outerShdw blurRad="88900" dist="50800" dir="5400000" algn="t" rotWithShape="0">
                            <a:prstClr val="black">
                              <a:alpha val="25000"/>
                            </a:prstClr>
                          </a:outerShdw>
                        </a:effectLst>
                      </wps:spPr>
                      <wps:style>
                        <a:lnRef idx="2">
                          <a:schemeClr val="accent1">
                            <a:shade val="50000"/>
                          </a:schemeClr>
                        </a:lnRef>
                        <a:fillRef idx="1003">
                          <a:schemeClr val="dk2"/>
                        </a:fillRef>
                        <a:effectRef idx="0">
                          <a:schemeClr val="accent1"/>
                        </a:effectRef>
                        <a:fontRef idx="minor">
                          <a:schemeClr val="lt1"/>
                        </a:fontRef>
                      </wps:style>
                      <wps:txbx>
                        <w:txbxContent>
                          <w:p w:rsidR="002671A9" w:rsidRDefault="002671A9"/>
                          <w:p w:rsidR="002671A9" w:rsidRDefault="002671A9"/>
                          <w:tbl>
                            <w:tblPr>
                              <w:tblW w:w="5000" w:type="pct"/>
                              <w:jc w:val="center"/>
                              <w:tblLook w:val="04A0" w:firstRow="1" w:lastRow="0" w:firstColumn="1" w:lastColumn="0" w:noHBand="0" w:noVBand="1"/>
                            </w:tblPr>
                            <w:tblGrid>
                              <w:gridCol w:w="3494"/>
                              <w:gridCol w:w="3493"/>
                              <w:gridCol w:w="3494"/>
                            </w:tblGrid>
                            <w:tr w:rsidR="007870A9" w:rsidTr="002671A9">
                              <w:trPr>
                                <w:jc w:val="center"/>
                              </w:trPr>
                              <w:tc>
                                <w:tcPr>
                                  <w:tcW w:w="3506" w:type="dxa"/>
                                </w:tcPr>
                                <w:p w:rsidR="007870A9" w:rsidRDefault="007870A9">
                                  <w:pPr>
                                    <w:spacing w:after="160" w:line="264" w:lineRule="auto"/>
                                    <w:jc w:val="center"/>
                                  </w:pPr>
                                </w:p>
                              </w:tc>
                              <w:tc>
                                <w:tcPr>
                                  <w:tcW w:w="3506" w:type="dxa"/>
                                </w:tcPr>
                                <w:p w:rsidR="007870A9" w:rsidRDefault="007870A9">
                                  <w:pPr>
                                    <w:spacing w:after="160" w:line="264" w:lineRule="auto"/>
                                    <w:jc w:val="center"/>
                                  </w:pPr>
                                </w:p>
                              </w:tc>
                              <w:tc>
                                <w:tcPr>
                                  <w:tcW w:w="3507" w:type="dxa"/>
                                </w:tcPr>
                                <w:p w:rsidR="007870A9" w:rsidRDefault="007870A9">
                                  <w:pPr>
                                    <w:jc w:val="center"/>
                                  </w:pPr>
                                </w:p>
                              </w:tc>
                            </w:tr>
                          </w:tbl>
                          <w:p w:rsidR="007870A9" w:rsidRDefault="007870A9">
                            <w:pPr>
                              <w:jc w:val="center"/>
                            </w:pPr>
                          </w:p>
                        </w:txbxContent>
                      </wps:txbx>
                      <wps:bodyPr rot="0" spcFirstLastPara="0" vertOverflow="overflow" horzOverflow="overflow" vert="horz" wrap="square" lIns="91440" tIns="182880" rIns="91440" bIns="45720" numCol="1" spcCol="0" rtlCol="0" fromWordArt="0" anchor="ctr" anchorCtr="0" forceAA="0" compatLnSpc="1">
                        <a:prstTxWarp prst="textNoShape">
                          <a:avLst/>
                        </a:prstTxWarp>
                        <a:noAutofit/>
                      </wps:bodyPr>
                    </wps:wsp>
                  </a:graphicData>
                </a:graphic>
                <wp14:sizeRelH relativeFrom="margin">
                  <wp14:pctWidth>105000</wp14:pctWidth>
                </wp14:sizeRelH>
                <wp14:sizeRelV relativeFrom="topMargin">
                  <wp14:pctHeight>0</wp14:pctHeight>
                </wp14:sizeRelV>
              </wp:anchor>
            </w:drawing>
          </mc:Choice>
          <mc:Fallback>
            <w:pict>
              <v:rect id="Rectangle 1" o:spid="_x0000_s1027" style="position:absolute;left:0;text-align:left;margin-left:0;margin-top:53.45pt;width:531pt;height:69.75pt;z-index:-251657216;visibility:visible;mso-wrap-style:square;mso-width-percent:1050;mso-height-percent:0;mso-wrap-distance-left:9pt;mso-wrap-distance-top:0;mso-wrap-distance-right:9pt;mso-wrap-distance-bottom:0;mso-position-horizontal:center;mso-position-horizontal-relative:margin;mso-position-vertical:absolute;mso-position-vertical-relative:top-margin-area;mso-width-percent:1050;mso-height-percent:0;mso-width-relative:margin;mso-height-relative:top-margin-area;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" stroked="f" strokeweight="2.25pt">
                <v:fill r:id="rId9" o:title="" recolor="t" rotate="t" type="tile"/>
                <v:imagedata recolortarget="#325ea2 [3058]"/>
                <v:shadow on="t" color="black" opacity=".25" origin=",-.5" offset="0,4pt"/>
                <v:textbox inset=",14.4pt">
                  <w:txbxContent>
                    <w:p w:rsidR="002671A9" w:rsidRDefault="002671A9"/>
                    <w:p w:rsidR="002671A9" w:rsidRDefault="002671A9"/>
                    <w:tbl>
                      <w:tblPr>
                        <w:tblW w:w="5000" w:type="pct"/>
                        <w:jc w:val="center"/>
                        <w:tblLook w:val="04A0" w:firstRow="1" w:lastRow="0" w:firstColumn="1" w:lastColumn="0" w:noHBand="0" w:noVBand="1"/>
                      </w:tblPr>
                      <w:tblGrid>
                        <w:gridCol w:w="3494"/>
                        <w:gridCol w:w="3493"/>
                        <w:gridCol w:w="3494"/>
                      </w:tblGrid>
                      <w:tr w:rsidR="007870A9" w:rsidTr="002671A9">
                        <w:trPr>
                          <w:jc w:val="center"/>
                        </w:trPr>
                        <w:tc>
                          <w:tcPr>
                            <w:tcW w:w="3506" w:type="dxa"/>
                          </w:tcPr>
                          <w:p w:rsidR="007870A9" w:rsidRDefault="007870A9">
                            <w:pPr>
                              <w:spacing w:after="160" w:line="264" w:lineRule="auto"/>
                              <w:jc w:val="center"/>
                            </w:pPr>
                          </w:p>
                        </w:tc>
                        <w:tc>
                          <w:tcPr>
                            <w:tcW w:w="3506" w:type="dxa"/>
                          </w:tcPr>
                          <w:p w:rsidR="007870A9" w:rsidRDefault="007870A9">
                            <w:pPr>
                              <w:spacing w:after="160" w:line="264" w:lineRule="auto"/>
                              <w:jc w:val="center"/>
                            </w:pPr>
                          </w:p>
                        </w:tc>
                        <w:tc>
                          <w:tcPr>
                            <w:tcW w:w="3507" w:type="dxa"/>
                          </w:tcPr>
                          <w:p w:rsidR="007870A9" w:rsidRDefault="007870A9">
                            <w:pPr>
                              <w:jc w:val="center"/>
                            </w:pPr>
                          </w:p>
                        </w:tc>
                      </w:tr>
                    </w:tbl>
                    <w:p w:rsidR="007870A9" w:rsidRDefault="007870A9">
                      <w:pPr>
                        <w:jc w:val="center"/>
                      </w:pPr>
                    </w:p>
                  </w:txbxContent>
                </v:textbox>
                <w10:wrap anchorx="margin" anchory="margin"/>
              </v:rect>
            </w:pict>
          </mc:Fallback>
        </mc:AlternateContent>
      </w:r>
      <w:r w:rsidR="00C210B7">
        <w:rPr>
          <w:rFonts w:ascii="Tahoma" w:hAnsi="Tahoma" w:cs="Tahoma"/>
          <w:b/>
          <w:i w:val="0"/>
          <w:lang w:val="es-ES"/>
        </w:rPr>
        <w:t>N</w:t>
      </w:r>
      <w:r w:rsidR="00C210B7" w:rsidRPr="00C210B7">
        <w:rPr>
          <w:rFonts w:ascii="Tahoma" w:hAnsi="Tahoma" w:cs="Tahoma"/>
          <w:b/>
          <w:i w:val="0"/>
          <w:lang w:val="es-ES"/>
        </w:rPr>
        <w:t>ormas que establecen las condiciones, plazos y las excepciones para informar la composición societaria, y apruébese el "Anexo de Accionistas, Partícipes, Socios, Miembros de Directorio y Administradores" y su contenido.</w:t>
      </w:r>
    </w:p>
    <w:p w:rsidR="004B343A" w:rsidRPr="004B343A" w:rsidRDefault="004B343A" w:rsidP="004B343A">
      <w:pPr>
        <w:rPr>
          <w:sz w:val="2"/>
          <w:lang w:val="es-ES"/>
        </w:rPr>
      </w:pPr>
    </w:p>
    <w:p w:rsidR="004B343A" w:rsidRPr="00C527C1" w:rsidRDefault="00C210B7" w:rsidP="00C527C1">
      <w:pPr>
        <w:pBdr>
          <w:top w:val="single" w:sz="4" w:space="1" w:color="auto"/>
          <w:left w:val="single" w:sz="4" w:space="4" w:color="auto"/>
          <w:bottom w:val="single" w:sz="4" w:space="1" w:color="auto"/>
          <w:right w:val="single" w:sz="4" w:space="4" w:color="auto"/>
        </w:pBdr>
        <w:shd w:val="clear" w:color="auto" w:fill="2C395D" w:themeFill="accent1" w:themeFillShade="80"/>
        <w:rPr>
          <w:rFonts w:ascii="Arial" w:hAnsi="Arial" w:cs="Arial"/>
          <w:b/>
          <w:i/>
          <w:color w:val="FFFFFF" w:themeColor="background1"/>
          <w:sz w:val="24"/>
          <w:szCs w:val="24"/>
          <w:lang w:val="es-ES"/>
        </w:rPr>
      </w:pPr>
      <w:r>
        <w:rPr>
          <w:rFonts w:ascii="Arial" w:hAnsi="Arial" w:cs="Arial"/>
          <w:b/>
          <w:i/>
          <w:color w:val="FFFFFF" w:themeColor="background1"/>
          <w:sz w:val="24"/>
          <w:szCs w:val="24"/>
          <w:lang w:val="es-ES"/>
        </w:rPr>
        <w:t>Registro Oficial 665 del 08 de enero del 2016</w:t>
      </w:r>
    </w:p>
    <w:p w:rsidR="007870A9" w:rsidRPr="00C527C1" w:rsidRDefault="00C210B7" w:rsidP="00C210B7">
      <w:pPr>
        <w:pStyle w:val="Subttulo"/>
        <w:tabs>
          <w:tab w:val="left" w:pos="10065"/>
        </w:tabs>
        <w:spacing w:after="0" w:line="240" w:lineRule="auto"/>
        <w:jc w:val="both"/>
        <w:rPr>
          <w:rFonts w:ascii="Arial" w:hAnsi="Arial" w:cs="Arial"/>
          <w:lang w:val="es-ES"/>
        </w:rPr>
      </w:pPr>
      <w:r w:rsidRPr="002A7BD6">
        <w:rPr>
          <w:rFonts w:ascii="Arial" w:hAnsi="Arial" w:cs="Arial"/>
          <w:noProof/>
          <w:sz w:val="18"/>
          <w:szCs w:val="18"/>
          <w:lang w:val="es-EC" w:eastAsia="es-EC"/>
        </w:rPr>
        <w:drawing>
          <wp:anchor distT="0" distB="0" distL="114300" distR="114300" simplePos="0" relativeHeight="251686912" behindDoc="0" locked="0" layoutInCell="1" allowOverlap="1" wp14:anchorId="1365825B" wp14:editId="384699FA">
            <wp:simplePos x="0" y="0"/>
            <wp:positionH relativeFrom="margin">
              <wp:posOffset>3729990</wp:posOffset>
            </wp:positionH>
            <wp:positionV relativeFrom="paragraph">
              <wp:posOffset>673100</wp:posOffset>
            </wp:positionV>
            <wp:extent cx="2581275" cy="2038350"/>
            <wp:effectExtent l="0" t="0" r="9525" b="0"/>
            <wp:wrapSquare wrapText="bothSides"/>
            <wp:docPr id="16"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portante11[1].jp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2581275" cy="2038350"/>
                    </a:xfrm>
                    <a:prstGeom prst="rect">
                      <a:avLst/>
                    </a:prstGeom>
                  </pic:spPr>
                </pic:pic>
              </a:graphicData>
            </a:graphic>
            <wp14:sizeRelH relativeFrom="margin">
              <wp14:pctWidth>0</wp14:pctWidth>
            </wp14:sizeRelH>
            <wp14:sizeRelV relativeFrom="margin">
              <wp14:pctHeight>0</wp14:pctHeight>
            </wp14:sizeRelV>
          </wp:anchor>
        </w:drawing>
      </w:r>
      <w:r w:rsidRPr="00C210B7">
        <w:rPr>
          <w:rFonts w:ascii="Arial" w:hAnsi="Arial" w:cs="Arial"/>
          <w:b/>
          <w:lang w:val="es-EC"/>
        </w:rPr>
        <w:t>NAC-DGERCGC15-00003236:</w:t>
      </w:r>
      <w:r w:rsidRPr="00C210B7">
        <w:rPr>
          <w:rFonts w:ascii="Arial" w:hAnsi="Arial" w:cs="Arial"/>
          <w:lang w:val="es-EC"/>
        </w:rPr>
        <w:t xml:space="preserve"> Se expiden las normas que establecen las condiciones, plazos y las excepciones para informar la composición societaria, y apruébese el "Anexo de Accionistas, Partícipes, Socios, Miembros de Directorio y Administradores" y su contenido</w:t>
      </w:r>
      <w:r>
        <w:rPr>
          <w:rFonts w:ascii="Arial" w:hAnsi="Arial" w:cs="Arial"/>
          <w:lang w:val="es-EC"/>
        </w:rPr>
        <w:t>.</w:t>
      </w:r>
      <w:r w:rsidR="00FE0A40" w:rsidRPr="00C527C1">
        <w:rPr>
          <w:rFonts w:ascii="Arial" w:hAnsi="Arial" w:cs="Arial"/>
          <w:lang w:val="es-ES"/>
        </w:rPr>
        <w:t xml:space="preserve"> </w:t>
      </w:r>
      <w:r w:rsidR="00E64237" w:rsidRPr="00C527C1">
        <w:rPr>
          <w:rFonts w:ascii="Arial" w:hAnsi="Arial" w:cs="Arial"/>
          <w:lang w:val="es-ES"/>
        </w:rPr>
        <w:t xml:space="preserve"> </w:t>
      </w:r>
    </w:p>
    <w:p w:rsidR="007870A9" w:rsidRPr="002A7BD6" w:rsidRDefault="007870A9">
      <w:pPr>
        <w:pStyle w:val="Subttulo"/>
        <w:rPr>
          <w:sz w:val="2"/>
          <w:lang w:val="es-ES"/>
        </w:rPr>
      </w:pPr>
    </w:p>
    <w:p w:rsidR="00C527C1" w:rsidRPr="002A7BD6" w:rsidRDefault="00C527C1" w:rsidP="00C527C1">
      <w:pPr>
        <w:rPr>
          <w:sz w:val="2"/>
          <w:lang w:val="es-ES"/>
        </w:rPr>
        <w:sectPr w:rsidR="00C527C1" w:rsidRPr="002A7BD6" w:rsidSect="006455FD">
          <w:type w:val="continuous"/>
          <w:pgSz w:w="12240" w:h="15840"/>
          <w:pgMar w:top="2977" w:right="936" w:bottom="936" w:left="936" w:header="720" w:footer="720" w:gutter="0"/>
          <w:cols w:space="720"/>
          <w:docGrid w:linePitch="360"/>
        </w:sectPr>
      </w:pPr>
    </w:p>
    <w:p w:rsidR="007E04AF" w:rsidRDefault="00C210B7" w:rsidP="007E04AF">
      <w:pPr>
        <w:jc w:val="center"/>
        <w:rPr>
          <w:rFonts w:ascii="Arial" w:hAnsi="Arial" w:cs="Arial"/>
          <w:b/>
          <w:bCs/>
          <w:sz w:val="16"/>
          <w:szCs w:val="16"/>
          <w:lang w:val="es-ES"/>
        </w:rPr>
      </w:pPr>
      <w:r w:rsidRPr="00C210B7">
        <w:rPr>
          <w:rFonts w:ascii="Arial" w:hAnsi="Arial" w:cs="Arial"/>
          <w:b/>
          <w:bCs/>
          <w:sz w:val="16"/>
          <w:szCs w:val="16"/>
          <w:lang w:val="es-ES"/>
        </w:rPr>
        <w:lastRenderedPageBreak/>
        <w:t>Considerando:</w:t>
      </w:r>
    </w:p>
    <w:p w:rsidR="00C210B7" w:rsidRDefault="00C210B7" w:rsidP="00C210B7">
      <w:pPr>
        <w:jc w:val="both"/>
        <w:rPr>
          <w:rFonts w:ascii="Arial" w:hAnsi="Arial" w:cs="Arial"/>
          <w:sz w:val="16"/>
          <w:szCs w:val="16"/>
          <w:lang w:val="es-ES"/>
        </w:rPr>
      </w:pPr>
      <w:r w:rsidRPr="00C210B7">
        <w:rPr>
          <w:rFonts w:ascii="Arial" w:hAnsi="Arial" w:cs="Arial"/>
          <w:sz w:val="16"/>
          <w:szCs w:val="16"/>
          <w:lang w:val="es-ES"/>
        </w:rPr>
        <w:t>Que el artículo 83 de la Constitución de la República del Ecuador establece que son deberes y responsabilidades de los habitantes del Ecuador acatar y cumplir con la Constitución, la ley y las decisiones legítimas de autoridad competente, cooperar con el Estado y la comunidad en la seguridad social y pagar los tributos establecidos por ley;</w:t>
      </w:r>
    </w:p>
    <w:p w:rsidR="00C210B7" w:rsidRDefault="00C210B7" w:rsidP="00C210B7">
      <w:pPr>
        <w:jc w:val="both"/>
        <w:rPr>
          <w:rFonts w:ascii="Arial" w:hAnsi="Arial" w:cs="Arial"/>
          <w:sz w:val="16"/>
          <w:szCs w:val="16"/>
          <w:lang w:val="es-ES"/>
        </w:rPr>
      </w:pPr>
      <w:r w:rsidRPr="00C210B7">
        <w:rPr>
          <w:rFonts w:ascii="Arial" w:hAnsi="Arial" w:cs="Arial"/>
          <w:sz w:val="16"/>
          <w:szCs w:val="16"/>
          <w:lang w:val="es-ES"/>
        </w:rPr>
        <w:t>Que el artículo 226 de la Constitución de la República del Ecuador dispone que las instituciones del Estado, sus organismos, dependencias, las servidoras o servidores públicos y las personas que actúen en virtud de una potestad estatal ejercerán solamente las competencias y facultades que les sean atribuidas en la Constitución y la ley;</w:t>
      </w:r>
    </w:p>
    <w:p w:rsidR="00C210B7" w:rsidRDefault="00C210B7" w:rsidP="00C210B7">
      <w:pPr>
        <w:jc w:val="both"/>
        <w:rPr>
          <w:rFonts w:ascii="Arial" w:hAnsi="Arial" w:cs="Arial"/>
          <w:sz w:val="16"/>
          <w:szCs w:val="16"/>
          <w:lang w:val="es-ES"/>
        </w:rPr>
      </w:pPr>
      <w:r w:rsidRPr="00C210B7">
        <w:rPr>
          <w:rFonts w:ascii="Arial" w:hAnsi="Arial" w:cs="Arial"/>
          <w:sz w:val="16"/>
          <w:szCs w:val="16"/>
          <w:lang w:val="es-ES"/>
        </w:rPr>
        <w:t>Que el artículo 300 de la Constitución de la República del Ecuador señala que el régimen tributario se regirá por los principios de generalidad, progresividad, eficiencia, simplicidad administrativa, irretroactividad, equidad, transparencia y suficiencia recaudatoria. Se priorizarán los impuestos directos y progresivos;</w:t>
      </w:r>
    </w:p>
    <w:p w:rsidR="00C210B7" w:rsidRDefault="00C210B7" w:rsidP="00C210B7">
      <w:pPr>
        <w:jc w:val="both"/>
        <w:rPr>
          <w:rFonts w:ascii="Arial" w:hAnsi="Arial" w:cs="Arial"/>
          <w:sz w:val="16"/>
          <w:szCs w:val="16"/>
          <w:lang w:val="es-ES"/>
        </w:rPr>
      </w:pPr>
      <w:r w:rsidRPr="00C210B7">
        <w:rPr>
          <w:rFonts w:ascii="Arial" w:hAnsi="Arial" w:cs="Arial"/>
          <w:sz w:val="16"/>
          <w:szCs w:val="16"/>
          <w:lang w:val="es-ES"/>
        </w:rPr>
        <w:t>Que el artículo 1 de la Ley de Creación del Servicio de Rentas Internas crea el Servicio de Rentas Internas (SRI) como una entidad técnica y autónoma, con personería jurídica, de derecho público, patrimonio y fondos propios, jurisdicción nacional y sede principal en la ciudad de Quito. Su gestión estará sujeta a las disposiciones de la citada Ley, del Código Tributario, de la Ley de Régimen Tributario Interno y de las demás leyes y reglamentos que fueren aplicables y su autonomía concierne a los órdenes administrativo, financiero y operativo;</w:t>
      </w:r>
      <w:r w:rsidRPr="00C210B7">
        <w:rPr>
          <w:rFonts w:ascii="Arial" w:hAnsi="Arial" w:cs="Arial"/>
          <w:sz w:val="16"/>
          <w:szCs w:val="16"/>
          <w:lang w:val="es-ES"/>
        </w:rPr>
        <w:br/>
      </w:r>
      <w:r w:rsidRPr="00C210B7">
        <w:rPr>
          <w:rFonts w:ascii="Arial" w:hAnsi="Arial" w:cs="Arial"/>
          <w:sz w:val="16"/>
          <w:szCs w:val="16"/>
          <w:lang w:val="es-ES"/>
        </w:rPr>
        <w:br/>
        <w:t>Que de acuerdo a lo establecido en el artículo 7 del Código Tributario, en concordancia con el artículo 8 de la Ley de Creación del Servicio de Rentas Internas, es facultad del Director o Directora General del Servicio de Rentas Internas expedir las resoluciones, circulares o disposiciones de carácter general y obligatorio necesarias para la aplicación de las normas legales y reglamentarias;</w:t>
      </w:r>
      <w:r w:rsidRPr="00C210B7">
        <w:rPr>
          <w:rFonts w:ascii="Arial" w:hAnsi="Arial" w:cs="Arial"/>
          <w:sz w:val="16"/>
          <w:szCs w:val="16"/>
          <w:lang w:val="es-ES"/>
        </w:rPr>
        <w:br/>
      </w:r>
      <w:r w:rsidRPr="00C210B7">
        <w:rPr>
          <w:rFonts w:ascii="Arial" w:hAnsi="Arial" w:cs="Arial"/>
          <w:sz w:val="16"/>
          <w:szCs w:val="16"/>
          <w:lang w:val="es-ES"/>
        </w:rPr>
        <w:br/>
        <w:t>Que la Convención de las Naciones Unidas Contra la Corrupción, ratificada por el Estado Ecuatoriano y publicada en el Suplemento del Registro Oficial No. 166, de fecha 15 de diciembre del 2005, tiene como primordial objetivo el fortalecimiento de políticas anticorrupción, tanto del sector público como del privado; y, que en su artículo 12, recomienda a cada Estado Parte adoptar medidas para prevenir la corrupción y mejorar la auditoría del sector privado, entre ellas, promover la transparencia entre entidades privadas, incluidas, cuando proceda, medidas relativas a la identidad de las personas jurídicas y naturales involucradas en el establecimiento y la gestión de empresas;</w:t>
      </w:r>
    </w:p>
    <w:p w:rsidR="00C210B7" w:rsidRDefault="00C210B7" w:rsidP="00C210B7">
      <w:pPr>
        <w:jc w:val="both"/>
        <w:rPr>
          <w:rFonts w:ascii="Arial" w:hAnsi="Arial" w:cs="Arial"/>
          <w:sz w:val="16"/>
          <w:szCs w:val="16"/>
          <w:lang w:val="es-ES"/>
        </w:rPr>
      </w:pPr>
      <w:r w:rsidRPr="00C210B7">
        <w:rPr>
          <w:rFonts w:ascii="Arial" w:hAnsi="Arial" w:cs="Arial"/>
          <w:sz w:val="16"/>
          <w:szCs w:val="16"/>
          <w:lang w:val="es-ES"/>
        </w:rPr>
        <w:t xml:space="preserve">Que el artículo 37 de la Ley de Régimen Tributario Interno señala que los ingresos gravables obtenidos por sociedades constituidas en el Ecuador, así como, por las sucursales de sociedades extranjeras domiciliadas en el país y los establecimientos permanentes de sociedades extranjeras no domiciliadas, aplicarán la tarifa del 22% sobre su base imponible. No obstante, la tarifa impositiva será del 25% cuando la sociedad tenga accionistas, socios, partícipes, constituyentes, beneficiarios o similares, residentes o establecidos en paraísos fiscales o regímenes de menor imposición, con una participación directa o indirecta, individual o conjunta, igual o superior al 50%) del capital social o de aquel que corresponda a la naturaleza de la sociedad. Cuando la </w:t>
      </w:r>
      <w:r w:rsidRPr="00C210B7">
        <w:rPr>
          <w:rFonts w:ascii="Arial" w:hAnsi="Arial" w:cs="Arial"/>
          <w:sz w:val="16"/>
          <w:szCs w:val="16"/>
          <w:lang w:val="es-ES"/>
        </w:rPr>
        <w:lastRenderedPageBreak/>
        <w:t>mencionada participación de paraísos fiscales o regímenes de menor imposición sea inferior al 50%, la tarifa de 25% aplicará sobre la proporción de la base imponible que corresponda a dicha participación;</w:t>
      </w:r>
      <w:r w:rsidRPr="00C210B7">
        <w:rPr>
          <w:rFonts w:ascii="Arial" w:hAnsi="Arial" w:cs="Arial"/>
          <w:sz w:val="16"/>
          <w:szCs w:val="16"/>
          <w:lang w:val="es-ES"/>
        </w:rPr>
        <w:br/>
      </w:r>
      <w:r w:rsidRPr="00C210B7">
        <w:rPr>
          <w:rFonts w:ascii="Arial" w:hAnsi="Arial" w:cs="Arial"/>
          <w:sz w:val="16"/>
          <w:szCs w:val="16"/>
          <w:lang w:val="es-ES"/>
        </w:rPr>
        <w:br/>
        <w:t>Que el artículo 98 de la Ley de Régimen Tributario Interno dispone que el término sociedad comprende la persona jurídica, la sociedad de hecho, el fideicomiso mercantil y los patrimonios independientes o autónomos dotados o no de personería jurídica, salvo los constituidos por las instituciones del Estado, siempre y cuando los beneficiarios sean dichas instituciones;</w:t>
      </w:r>
    </w:p>
    <w:p w:rsidR="00C210B7" w:rsidRDefault="00C210B7" w:rsidP="00C210B7">
      <w:pPr>
        <w:jc w:val="both"/>
        <w:rPr>
          <w:rFonts w:ascii="Arial" w:hAnsi="Arial" w:cs="Arial"/>
          <w:sz w:val="16"/>
          <w:szCs w:val="16"/>
          <w:lang w:val="es-ES"/>
        </w:rPr>
      </w:pPr>
      <w:r w:rsidRPr="00C210B7">
        <w:rPr>
          <w:rFonts w:ascii="Arial" w:hAnsi="Arial" w:cs="Arial"/>
          <w:sz w:val="16"/>
          <w:szCs w:val="16"/>
          <w:lang w:val="es-ES"/>
        </w:rPr>
        <w:t>Que el artículo 106 de la Ley de Régimen Tributario Interno, dispone que para la información requerida por la Administración Tributaria no habrá reserva ni sigilo que le sea oponible y será entregada directamente, sin que se requiera trámite previo o intermediación, cualquiera que éste sea, ante autoridad alguna;</w:t>
      </w:r>
    </w:p>
    <w:p w:rsidR="00C210B7" w:rsidRDefault="00C210B7" w:rsidP="00C210B7">
      <w:pPr>
        <w:jc w:val="both"/>
        <w:rPr>
          <w:rFonts w:ascii="Arial" w:hAnsi="Arial" w:cs="Arial"/>
          <w:sz w:val="16"/>
          <w:szCs w:val="16"/>
          <w:lang w:val="es-ES"/>
        </w:rPr>
      </w:pPr>
      <w:r w:rsidRPr="00C210B7">
        <w:rPr>
          <w:rFonts w:ascii="Arial" w:hAnsi="Arial" w:cs="Arial"/>
          <w:sz w:val="16"/>
          <w:szCs w:val="16"/>
          <w:lang w:val="es-ES"/>
        </w:rPr>
        <w:t xml:space="preserve">Que el artículo </w:t>
      </w:r>
      <w:proofErr w:type="spellStart"/>
      <w:r w:rsidRPr="00C210B7">
        <w:rPr>
          <w:rFonts w:ascii="Arial" w:hAnsi="Arial" w:cs="Arial"/>
          <w:sz w:val="16"/>
          <w:szCs w:val="16"/>
          <w:lang w:val="es-ES"/>
        </w:rPr>
        <w:t>innumerado</w:t>
      </w:r>
      <w:proofErr w:type="spellEnd"/>
      <w:r w:rsidRPr="00C210B7">
        <w:rPr>
          <w:rFonts w:ascii="Arial" w:hAnsi="Arial" w:cs="Arial"/>
          <w:sz w:val="16"/>
          <w:szCs w:val="16"/>
          <w:lang w:val="es-ES"/>
        </w:rPr>
        <w:t xml:space="preserve"> agregado a continuación del artículo 7 del Reglamento para la aplicación de la Ley de Régimen Tributario Interno prevé que para efectos tributarios se entenderán como derechos representativos de capital a los títulos o derechos de propiedad respecto de cualquier tipo de entidad, patrimonio o el que corresponda de acuerdo a la naturaleza de la sociedad, apreciables monetariamente, tales como acciones, participaciones, derechos fiduciarios, entre otros. Así también, se entenderá como titular o beneficiario del derecho representativo de capital a todo accionista, socio, partícipe, beneficiario o similar, según corresponda, sea de manera directa o indirecta. Además, se entenderá como composición societaria a la participación directa o indirecta que los titulares de derechos representativos de capital tengan en el capital social o en aquel que corresponda a la naturaleza de la sociedad;</w:t>
      </w:r>
    </w:p>
    <w:p w:rsidR="00C210B7" w:rsidRDefault="00C210B7" w:rsidP="00C210B7">
      <w:pPr>
        <w:jc w:val="both"/>
        <w:rPr>
          <w:rFonts w:ascii="Arial" w:hAnsi="Arial" w:cs="Arial"/>
          <w:sz w:val="16"/>
          <w:szCs w:val="16"/>
          <w:lang w:val="es-ES"/>
        </w:rPr>
      </w:pPr>
      <w:r w:rsidRPr="00C210B7">
        <w:rPr>
          <w:rFonts w:ascii="Arial" w:hAnsi="Arial" w:cs="Arial"/>
          <w:sz w:val="16"/>
          <w:szCs w:val="16"/>
          <w:lang w:val="es-ES"/>
        </w:rPr>
        <w:br/>
        <w:t>Que el artículo 51 del Reglamento para la aplicación de la Ley de Régimen Tributario Interno, dispone que la tarifa del impuesto a la renta se determinará por la composición societaria correspondiente a paraísos fiscales o regímenes de menor imposición que la sociedad tenga durante el periodo fiscal. Para establecer esta composición se la deberá considerar al 31 de diciembre de cada año; así cuando la composición societaria correspondiente a paraísos fiscales o regímenes de menor imposición sea inferior al 50%, la tarifa se aplicará de la siguiente forma: a) Al porcentaje de la composición societaria correspondiente a paraísos fiscales o regímenes de menor imposición se le multiplicará por la base imponible, a este resultado se aplicará la tarifa del 25% del impuesto a la renta; y, b) Al porcentaje de la composición restante se le multiplicará por la base imponible, a este resultado se aplicará la tarifa del 22% del impuesto a la renta. Como consecuencia, el impuesto a la renta de la sociedad será la sumatoria del resultado de los literales anteriores;</w:t>
      </w:r>
    </w:p>
    <w:p w:rsidR="00C210B7" w:rsidRDefault="00C210B7" w:rsidP="00C210B7">
      <w:pPr>
        <w:jc w:val="both"/>
        <w:rPr>
          <w:rFonts w:ascii="Arial" w:hAnsi="Arial" w:cs="Arial"/>
          <w:sz w:val="16"/>
          <w:szCs w:val="16"/>
          <w:lang w:val="es-ES"/>
        </w:rPr>
      </w:pPr>
      <w:r w:rsidRPr="00C210B7">
        <w:rPr>
          <w:rFonts w:ascii="Arial" w:hAnsi="Arial" w:cs="Arial"/>
          <w:sz w:val="16"/>
          <w:szCs w:val="16"/>
          <w:lang w:val="es-ES"/>
        </w:rPr>
        <w:br/>
        <w:t>Que el segundo inciso del artículo 37 de la Ley de Régimen Tributario Interno señala que aplicará la tarifa del 25% a toda la base imponible de la sociedad que incumpla el deber de informar sobre la participación de sus accionistas, socios, participes, constituyentes, beneficiarios o similares, conforme lo que establezca el reglamento a esa Ley y las resoluciones que emita el Servicio de Rentas Internas; sin perjuicio de otras sanciones que fueren aplicables;</w:t>
      </w:r>
      <w:r w:rsidRPr="00C210B7">
        <w:rPr>
          <w:rFonts w:ascii="Arial" w:hAnsi="Arial" w:cs="Arial"/>
          <w:sz w:val="16"/>
          <w:szCs w:val="16"/>
          <w:lang w:val="es-ES"/>
        </w:rPr>
        <w:br/>
      </w:r>
      <w:r w:rsidRPr="00C210B7">
        <w:rPr>
          <w:rFonts w:ascii="Arial" w:hAnsi="Arial" w:cs="Arial"/>
          <w:sz w:val="16"/>
          <w:szCs w:val="16"/>
          <w:lang w:val="es-ES"/>
        </w:rPr>
        <w:br/>
        <w:t xml:space="preserve">Que conforme al primer inciso del artículo </w:t>
      </w:r>
      <w:proofErr w:type="spellStart"/>
      <w:r w:rsidRPr="00C210B7">
        <w:rPr>
          <w:rFonts w:ascii="Arial" w:hAnsi="Arial" w:cs="Arial"/>
          <w:sz w:val="16"/>
          <w:szCs w:val="16"/>
          <w:lang w:val="es-ES"/>
        </w:rPr>
        <w:t>innumerado</w:t>
      </w:r>
      <w:proofErr w:type="spellEnd"/>
      <w:r w:rsidRPr="00C210B7">
        <w:rPr>
          <w:rFonts w:ascii="Arial" w:hAnsi="Arial" w:cs="Arial"/>
          <w:sz w:val="16"/>
          <w:szCs w:val="16"/>
          <w:lang w:val="es-ES"/>
        </w:rPr>
        <w:t xml:space="preserve"> a continuación del artículo 51 del Reglamento para la Aplicación de la Ley de Régimen Tributario Interno, las sociedades residentes y los establecimientos permanentes en el Ecuador deberán informar </w:t>
      </w:r>
      <w:r w:rsidRPr="00C210B7">
        <w:rPr>
          <w:rFonts w:ascii="Arial" w:hAnsi="Arial" w:cs="Arial"/>
          <w:sz w:val="16"/>
          <w:szCs w:val="16"/>
          <w:lang w:val="es-ES"/>
        </w:rPr>
        <w:lastRenderedPageBreak/>
        <w:t>sobre la totalidad de su composición societaria, bajo las excepciones, condiciones y plazos dispuestos en la resolución que para el efecto emitan conjuntamente el Servicio de Rentas Internas y la Superintendencia de Compañías, Valores y Seguros;</w:t>
      </w:r>
    </w:p>
    <w:p w:rsidR="00C210B7" w:rsidRDefault="00C210B7" w:rsidP="00C210B7">
      <w:pPr>
        <w:jc w:val="both"/>
        <w:rPr>
          <w:rFonts w:ascii="Arial" w:hAnsi="Arial" w:cs="Arial"/>
          <w:sz w:val="16"/>
          <w:szCs w:val="16"/>
          <w:lang w:val="es-ES"/>
        </w:rPr>
      </w:pPr>
      <w:r w:rsidRPr="00C210B7">
        <w:rPr>
          <w:rFonts w:ascii="Arial" w:hAnsi="Arial" w:cs="Arial"/>
          <w:sz w:val="16"/>
          <w:szCs w:val="16"/>
          <w:lang w:val="es-ES"/>
        </w:rPr>
        <w:t xml:space="preserve">Que el segundo inciso del artículo </w:t>
      </w:r>
      <w:proofErr w:type="spellStart"/>
      <w:r w:rsidRPr="00C210B7">
        <w:rPr>
          <w:rFonts w:ascii="Arial" w:hAnsi="Arial" w:cs="Arial"/>
          <w:sz w:val="16"/>
          <w:szCs w:val="16"/>
          <w:lang w:val="es-ES"/>
        </w:rPr>
        <w:t>innumerado</w:t>
      </w:r>
      <w:proofErr w:type="spellEnd"/>
      <w:r w:rsidRPr="00C210B7">
        <w:rPr>
          <w:rFonts w:ascii="Arial" w:hAnsi="Arial" w:cs="Arial"/>
          <w:sz w:val="16"/>
          <w:szCs w:val="16"/>
          <w:lang w:val="es-ES"/>
        </w:rPr>
        <w:t xml:space="preserve"> agregado a continuación del artículo 51 ibídem, establece que las sociedades que no cumplan con la obligación de informar su composición societaria, aplicarán la tarifa del 25%; y cuando presenten esta información de manera incompleta aplicará la tarifa del 25% respecto a la participación no presentada;</w:t>
      </w:r>
    </w:p>
    <w:p w:rsidR="00C210B7" w:rsidRDefault="00C210B7" w:rsidP="00C210B7">
      <w:pPr>
        <w:jc w:val="both"/>
        <w:rPr>
          <w:rFonts w:ascii="Arial" w:hAnsi="Arial" w:cs="Arial"/>
          <w:sz w:val="16"/>
          <w:szCs w:val="16"/>
          <w:lang w:val="es-ES"/>
        </w:rPr>
      </w:pPr>
      <w:r w:rsidRPr="00C210B7">
        <w:rPr>
          <w:rFonts w:ascii="Arial" w:hAnsi="Arial" w:cs="Arial"/>
          <w:sz w:val="16"/>
          <w:szCs w:val="16"/>
          <w:lang w:val="es-ES"/>
        </w:rPr>
        <w:t>Que conforme la disposición transitoria vigésima primera del Reglamento para la Aplicación de la Ley de Régimen Tributario Interno, para el cumplimiento de la obligación de informar sobre la composición societaria, se usará el "Anexo de Accionistas, Partícipes, Socios, Miembros del Directorio y Administradores" aprobado por el Servicio de Rentas Internas en coordinación con la Superintendencia de Compañías, Valores y Seguros;</w:t>
      </w:r>
    </w:p>
    <w:p w:rsidR="00C210B7" w:rsidRDefault="00C210B7" w:rsidP="00C210B7">
      <w:pPr>
        <w:jc w:val="both"/>
        <w:rPr>
          <w:rFonts w:ascii="Arial" w:hAnsi="Arial" w:cs="Arial"/>
          <w:sz w:val="16"/>
          <w:szCs w:val="16"/>
          <w:lang w:val="es-ES"/>
        </w:rPr>
      </w:pPr>
      <w:r w:rsidRPr="00C210B7">
        <w:rPr>
          <w:rFonts w:ascii="Arial" w:hAnsi="Arial" w:cs="Arial"/>
          <w:sz w:val="16"/>
          <w:szCs w:val="16"/>
          <w:lang w:val="es-ES"/>
        </w:rPr>
        <w:t>Que es deber de la administración tributaria expedir los actos normativos necesarios para la aplicación de normas legales y reglamentarias; y, para facilitar el cumplimiento de las obligaciones tributarias de los sujetos pasivos, así como también para fortalecer los controles respecto de la información reportada por los contribuyentes;</w:t>
      </w:r>
      <w:r w:rsidRPr="00C210B7">
        <w:rPr>
          <w:rFonts w:ascii="Arial" w:hAnsi="Arial" w:cs="Arial"/>
          <w:sz w:val="16"/>
          <w:szCs w:val="16"/>
          <w:lang w:val="es-ES"/>
        </w:rPr>
        <w:br/>
      </w:r>
      <w:r w:rsidRPr="00C210B7">
        <w:rPr>
          <w:rFonts w:ascii="Arial" w:hAnsi="Arial" w:cs="Arial"/>
          <w:sz w:val="16"/>
          <w:szCs w:val="16"/>
          <w:lang w:val="es-ES"/>
        </w:rPr>
        <w:br/>
        <w:t>Que mediante oficios No. NAC-NTROSGE15-00002607 y No. SCVS.IRQ.DSC.2015.03126229, del Servicio de Rentas Internas y de la Superintendencia de Compañías, Valores y Seguros, respectivamente, dichas instituciones acordaron el contenido de la presente resolución; y,</w:t>
      </w:r>
    </w:p>
    <w:p w:rsidR="00C210B7" w:rsidRPr="00C210B7" w:rsidRDefault="00C210B7" w:rsidP="00C210B7">
      <w:pPr>
        <w:jc w:val="both"/>
        <w:rPr>
          <w:rFonts w:ascii="Arial" w:hAnsi="Arial" w:cs="Arial"/>
          <w:sz w:val="16"/>
          <w:szCs w:val="16"/>
          <w:lang w:val="es-ES"/>
        </w:rPr>
      </w:pPr>
      <w:r w:rsidRPr="00C210B7">
        <w:rPr>
          <w:rFonts w:ascii="Arial" w:hAnsi="Arial" w:cs="Arial"/>
          <w:sz w:val="16"/>
          <w:szCs w:val="16"/>
          <w:lang w:val="es-ES"/>
        </w:rPr>
        <w:t>En ejercicio de sus facultades legales,</w:t>
      </w:r>
    </w:p>
    <w:p w:rsidR="00C210B7" w:rsidRPr="00C210B7" w:rsidRDefault="00C210B7" w:rsidP="00C210B7">
      <w:pPr>
        <w:jc w:val="center"/>
        <w:rPr>
          <w:rFonts w:ascii="Arial" w:hAnsi="Arial" w:cs="Arial"/>
          <w:sz w:val="16"/>
          <w:szCs w:val="16"/>
          <w:lang w:val="es-ES"/>
        </w:rPr>
      </w:pPr>
      <w:r w:rsidRPr="00C210B7">
        <w:rPr>
          <w:rFonts w:ascii="Arial" w:hAnsi="Arial" w:cs="Arial"/>
          <w:b/>
          <w:bCs/>
          <w:sz w:val="16"/>
          <w:szCs w:val="16"/>
          <w:lang w:val="es-ES"/>
        </w:rPr>
        <w:t>Resuelve:</w:t>
      </w:r>
      <w:r w:rsidRPr="00C210B7">
        <w:rPr>
          <w:rFonts w:ascii="Arial" w:hAnsi="Arial" w:cs="Arial"/>
          <w:sz w:val="16"/>
          <w:szCs w:val="16"/>
          <w:lang w:val="es-ES"/>
        </w:rPr>
        <w:br/>
      </w:r>
      <w:r w:rsidRPr="00C210B7">
        <w:rPr>
          <w:rFonts w:ascii="Arial" w:hAnsi="Arial" w:cs="Arial"/>
          <w:sz w:val="16"/>
          <w:szCs w:val="16"/>
          <w:lang w:val="es-ES"/>
        </w:rPr>
        <w:br/>
      </w:r>
      <w:r w:rsidRPr="00C210B7">
        <w:rPr>
          <w:rFonts w:ascii="Arial" w:hAnsi="Arial" w:cs="Arial"/>
          <w:b/>
          <w:bCs/>
          <w:sz w:val="16"/>
          <w:szCs w:val="16"/>
          <w:lang w:val="es-ES"/>
        </w:rPr>
        <w:t>Expedir las normas que establecen las condiciones,</w:t>
      </w:r>
      <w:r w:rsidRPr="00C210B7">
        <w:rPr>
          <w:rFonts w:ascii="Arial" w:hAnsi="Arial" w:cs="Arial"/>
          <w:sz w:val="16"/>
          <w:szCs w:val="16"/>
          <w:lang w:val="es-ES"/>
        </w:rPr>
        <w:t> </w:t>
      </w:r>
      <w:r w:rsidRPr="00C210B7">
        <w:rPr>
          <w:rFonts w:ascii="Arial" w:hAnsi="Arial" w:cs="Arial"/>
          <w:b/>
          <w:bCs/>
          <w:sz w:val="16"/>
          <w:szCs w:val="16"/>
          <w:lang w:val="es-ES"/>
        </w:rPr>
        <w:t>plazos y las excepciones para informar la composición societaria, y aprobar el "Anexo de Accionistas,</w:t>
      </w:r>
      <w:r w:rsidRPr="00C210B7">
        <w:rPr>
          <w:rFonts w:ascii="Arial" w:hAnsi="Arial" w:cs="Arial"/>
          <w:sz w:val="16"/>
          <w:szCs w:val="16"/>
          <w:lang w:val="es-ES"/>
        </w:rPr>
        <w:t> </w:t>
      </w:r>
      <w:r w:rsidRPr="00C210B7">
        <w:rPr>
          <w:rFonts w:ascii="Arial" w:hAnsi="Arial" w:cs="Arial"/>
          <w:b/>
          <w:bCs/>
          <w:sz w:val="16"/>
          <w:szCs w:val="16"/>
          <w:lang w:val="es-ES"/>
        </w:rPr>
        <w:t>Partícipes, Socios, Miembros de Directorio y Administradores" y su contenido. </w:t>
      </w:r>
    </w:p>
    <w:p w:rsidR="00C210B7" w:rsidRDefault="00C210B7" w:rsidP="00C210B7">
      <w:pPr>
        <w:jc w:val="both"/>
        <w:rPr>
          <w:rFonts w:ascii="Arial" w:hAnsi="Arial" w:cs="Arial"/>
          <w:sz w:val="16"/>
          <w:szCs w:val="16"/>
          <w:lang w:val="es-ES"/>
        </w:rPr>
      </w:pPr>
      <w:r w:rsidRPr="00C210B7">
        <w:rPr>
          <w:rFonts w:ascii="Arial" w:hAnsi="Arial" w:cs="Arial"/>
          <w:b/>
          <w:bCs/>
          <w:sz w:val="16"/>
          <w:szCs w:val="16"/>
          <w:lang w:val="es-ES"/>
        </w:rPr>
        <w:t>Artículo 1. Objeto.- </w:t>
      </w:r>
      <w:r w:rsidRPr="00C210B7">
        <w:rPr>
          <w:rFonts w:ascii="Arial" w:hAnsi="Arial" w:cs="Arial"/>
          <w:sz w:val="16"/>
          <w:szCs w:val="16"/>
          <w:lang w:val="es-ES"/>
        </w:rPr>
        <w:t>Establecer las condiciones, los plazos y las excepciones para informar la composición societaria, así como aprobar el "Anexo de Accionistas, Partícipes, Socios, Miembros de Directorio y Administradores" y su contenido.</w:t>
      </w:r>
    </w:p>
    <w:p w:rsidR="00C210B7" w:rsidRDefault="00C210B7" w:rsidP="00C210B7">
      <w:pPr>
        <w:jc w:val="both"/>
        <w:rPr>
          <w:rFonts w:ascii="Arial" w:hAnsi="Arial" w:cs="Arial"/>
          <w:sz w:val="16"/>
          <w:szCs w:val="16"/>
          <w:lang w:val="es-ES"/>
        </w:rPr>
      </w:pPr>
      <w:r w:rsidRPr="00C210B7">
        <w:rPr>
          <w:rFonts w:ascii="Arial" w:hAnsi="Arial" w:cs="Arial"/>
          <w:b/>
          <w:bCs/>
          <w:sz w:val="16"/>
          <w:szCs w:val="16"/>
          <w:lang w:val="es-ES"/>
        </w:rPr>
        <w:t>Artículo 2. Sujetos obligados.- </w:t>
      </w:r>
      <w:r w:rsidRPr="00C210B7">
        <w:rPr>
          <w:rFonts w:ascii="Arial" w:hAnsi="Arial" w:cs="Arial"/>
          <w:sz w:val="16"/>
          <w:szCs w:val="16"/>
          <w:lang w:val="es-ES"/>
        </w:rPr>
        <w:t>Están obligados a presentar este anexo las sociedades, de conformidad con la definición del artículo 98 de la Ley de Régimen Tributario Interno, las sucursales de sociedades extranjeras residentes en el país, y los establecimientos permanentes de sociedades extranjeras no residentes.</w:t>
      </w:r>
    </w:p>
    <w:p w:rsidR="00C210B7" w:rsidRDefault="00C210B7" w:rsidP="00C210B7">
      <w:pPr>
        <w:jc w:val="both"/>
        <w:rPr>
          <w:rFonts w:ascii="Arial" w:hAnsi="Arial" w:cs="Arial"/>
          <w:sz w:val="16"/>
          <w:szCs w:val="16"/>
          <w:lang w:val="es-ES"/>
        </w:rPr>
      </w:pPr>
      <w:r w:rsidRPr="00C210B7">
        <w:rPr>
          <w:rFonts w:ascii="Arial" w:hAnsi="Arial" w:cs="Arial"/>
          <w:sz w:val="16"/>
          <w:szCs w:val="16"/>
          <w:lang w:val="es-ES"/>
        </w:rPr>
        <w:br/>
      </w:r>
      <w:r w:rsidRPr="00C210B7">
        <w:rPr>
          <w:rFonts w:ascii="Arial" w:hAnsi="Arial" w:cs="Arial"/>
          <w:b/>
          <w:bCs/>
          <w:sz w:val="16"/>
          <w:szCs w:val="16"/>
          <w:lang w:val="es-ES"/>
        </w:rPr>
        <w:t>Artículo 3. Niveles de la composición societaria.- </w:t>
      </w:r>
      <w:r w:rsidRPr="00C210B7">
        <w:rPr>
          <w:rFonts w:ascii="Arial" w:hAnsi="Arial" w:cs="Arial"/>
          <w:sz w:val="16"/>
          <w:szCs w:val="16"/>
          <w:lang w:val="es-ES"/>
        </w:rPr>
        <w:t>Para efectos de la presente resolución, se considera primer nivel, la relación directa del sujeto obligado, con sus titulares o beneficiarios de derechos representativos de capital; y, segundo, tercer o el nivel que corresponda, la relación indirecta existente, entre aquellos, de acuerdo al número de sociedades intermedias que existan hasta llegar al último nivel de la composición societaria, en el que se identifique a personas naturales que sean beneficiarios finales, dependiendo de la estructura de negocio del sujeto obligado o las sociedades intermedias.</w:t>
      </w:r>
    </w:p>
    <w:p w:rsidR="00C210B7" w:rsidRDefault="00C210B7" w:rsidP="00C210B7">
      <w:pPr>
        <w:jc w:val="both"/>
        <w:rPr>
          <w:rFonts w:ascii="Arial" w:hAnsi="Arial" w:cs="Arial"/>
          <w:sz w:val="16"/>
          <w:szCs w:val="16"/>
          <w:lang w:val="es-ES"/>
        </w:rPr>
      </w:pPr>
      <w:r w:rsidRPr="00C210B7">
        <w:rPr>
          <w:rFonts w:ascii="Arial" w:hAnsi="Arial" w:cs="Arial"/>
          <w:sz w:val="16"/>
          <w:szCs w:val="16"/>
          <w:lang w:val="es-ES"/>
        </w:rPr>
        <w:lastRenderedPageBreak/>
        <w:t>Entiéndase además como último nivel aquel en el cual se identifiquen a los siguientes sujetos, según corresponda:</w:t>
      </w:r>
    </w:p>
    <w:p w:rsidR="00C210B7" w:rsidRDefault="00C210B7" w:rsidP="00C210B7">
      <w:pPr>
        <w:jc w:val="both"/>
        <w:rPr>
          <w:rFonts w:ascii="Arial" w:hAnsi="Arial" w:cs="Arial"/>
          <w:sz w:val="16"/>
          <w:szCs w:val="16"/>
          <w:lang w:val="es-ES"/>
        </w:rPr>
      </w:pPr>
      <w:r w:rsidRPr="00C210B7">
        <w:rPr>
          <w:rFonts w:ascii="Arial" w:hAnsi="Arial" w:cs="Arial"/>
          <w:sz w:val="16"/>
          <w:szCs w:val="16"/>
          <w:lang w:val="es-ES"/>
        </w:rPr>
        <w:t>a) Instituciones del Estado, según la definición señalada en la Constitución de la República del Ecuador;</w:t>
      </w:r>
    </w:p>
    <w:p w:rsidR="00C210B7" w:rsidRDefault="00C210B7" w:rsidP="00C210B7">
      <w:pPr>
        <w:jc w:val="both"/>
        <w:rPr>
          <w:rFonts w:ascii="Arial" w:hAnsi="Arial" w:cs="Arial"/>
          <w:sz w:val="16"/>
          <w:szCs w:val="16"/>
          <w:lang w:val="es-ES"/>
        </w:rPr>
      </w:pPr>
      <w:r w:rsidRPr="00C210B7">
        <w:rPr>
          <w:rFonts w:ascii="Arial" w:hAnsi="Arial" w:cs="Arial"/>
          <w:sz w:val="16"/>
          <w:szCs w:val="16"/>
          <w:lang w:val="es-ES"/>
        </w:rPr>
        <w:t>b) Empresas públicas reguladas por la Ley Orgánica de Empresas Públicas;</w:t>
      </w:r>
      <w:r w:rsidRPr="00C210B7">
        <w:rPr>
          <w:rFonts w:ascii="Arial" w:hAnsi="Arial" w:cs="Arial"/>
          <w:sz w:val="16"/>
          <w:szCs w:val="16"/>
          <w:lang w:val="es-ES"/>
        </w:rPr>
        <w:br/>
      </w:r>
      <w:r w:rsidRPr="00C210B7">
        <w:rPr>
          <w:rFonts w:ascii="Arial" w:hAnsi="Arial" w:cs="Arial"/>
          <w:sz w:val="16"/>
          <w:szCs w:val="16"/>
          <w:lang w:val="es-ES"/>
        </w:rPr>
        <w:br/>
        <w:t>c) Misiones y organismos internacionales reconocidos por el Estado ecuatoriano; o,</w:t>
      </w:r>
    </w:p>
    <w:p w:rsidR="00C210B7" w:rsidRDefault="00C210B7" w:rsidP="00C210B7">
      <w:pPr>
        <w:jc w:val="both"/>
        <w:rPr>
          <w:rFonts w:ascii="Arial" w:hAnsi="Arial" w:cs="Arial"/>
          <w:sz w:val="16"/>
          <w:szCs w:val="16"/>
          <w:lang w:val="es-ES"/>
        </w:rPr>
      </w:pPr>
      <w:r w:rsidRPr="00C210B7">
        <w:rPr>
          <w:rFonts w:ascii="Arial" w:hAnsi="Arial" w:cs="Arial"/>
          <w:sz w:val="16"/>
          <w:szCs w:val="16"/>
          <w:lang w:val="es-ES"/>
        </w:rPr>
        <w:t>d) Dependencias y organismos de Estados extranjeros reconocidos por el Estado ecuatoriano.</w:t>
      </w:r>
    </w:p>
    <w:p w:rsidR="00C210B7" w:rsidRDefault="00C210B7" w:rsidP="00C210B7">
      <w:pPr>
        <w:jc w:val="both"/>
        <w:rPr>
          <w:rFonts w:ascii="Arial" w:hAnsi="Arial" w:cs="Arial"/>
          <w:sz w:val="16"/>
          <w:szCs w:val="16"/>
          <w:lang w:val="es-ES"/>
        </w:rPr>
      </w:pPr>
      <w:r w:rsidRPr="00C210B7">
        <w:rPr>
          <w:rFonts w:ascii="Arial" w:hAnsi="Arial" w:cs="Arial"/>
          <w:b/>
          <w:bCs/>
          <w:sz w:val="16"/>
          <w:szCs w:val="16"/>
          <w:lang w:val="es-ES"/>
        </w:rPr>
        <w:t>Artículo 4. Información a reportar- </w:t>
      </w:r>
      <w:r w:rsidRPr="00C210B7">
        <w:rPr>
          <w:rFonts w:ascii="Arial" w:hAnsi="Arial" w:cs="Arial"/>
          <w:sz w:val="16"/>
          <w:szCs w:val="16"/>
          <w:lang w:val="es-ES"/>
        </w:rPr>
        <w:t>De manera general, los sujetos obligados a presentar la información prevista en esta resolución, deberán informar a través del </w:t>
      </w:r>
      <w:r w:rsidRPr="00C210B7">
        <w:rPr>
          <w:rFonts w:ascii="Arial" w:hAnsi="Arial" w:cs="Arial"/>
          <w:i/>
          <w:iCs/>
          <w:sz w:val="16"/>
          <w:szCs w:val="16"/>
          <w:lang w:val="es-ES"/>
        </w:rPr>
        <w:t>Anexo de Accionistas, Partícipes, Socios, Miembros de Directorio y Administradores, </w:t>
      </w:r>
      <w:r w:rsidRPr="00C210B7">
        <w:rPr>
          <w:rFonts w:ascii="Arial" w:hAnsi="Arial" w:cs="Arial"/>
          <w:sz w:val="16"/>
          <w:szCs w:val="16"/>
          <w:lang w:val="es-ES"/>
        </w:rPr>
        <w:t>del cien por ciento (100%) de sus titulares o beneficiarios de derechos representativos de capital, miembros de directorio y administradores, lo siguiente:</w:t>
      </w:r>
    </w:p>
    <w:p w:rsidR="00C210B7" w:rsidRDefault="00C210B7" w:rsidP="00C210B7">
      <w:pPr>
        <w:jc w:val="both"/>
        <w:rPr>
          <w:rFonts w:ascii="Arial" w:hAnsi="Arial" w:cs="Arial"/>
          <w:sz w:val="16"/>
          <w:szCs w:val="16"/>
          <w:lang w:val="es-ES"/>
        </w:rPr>
      </w:pPr>
      <w:r w:rsidRPr="00C210B7">
        <w:rPr>
          <w:rFonts w:ascii="Arial" w:hAnsi="Arial" w:cs="Arial"/>
          <w:sz w:val="16"/>
          <w:szCs w:val="16"/>
          <w:lang w:val="es-ES"/>
        </w:rPr>
        <w:t>a) Denominación, razón social o nombres y apellidos completos, según corresponda;</w:t>
      </w:r>
    </w:p>
    <w:p w:rsidR="00C210B7" w:rsidRDefault="00C210B7" w:rsidP="00C210B7">
      <w:pPr>
        <w:jc w:val="both"/>
        <w:rPr>
          <w:rFonts w:ascii="Arial" w:hAnsi="Arial" w:cs="Arial"/>
          <w:sz w:val="16"/>
          <w:szCs w:val="16"/>
          <w:lang w:val="es-ES"/>
        </w:rPr>
      </w:pPr>
      <w:r w:rsidRPr="00C210B7">
        <w:rPr>
          <w:rFonts w:ascii="Arial" w:hAnsi="Arial" w:cs="Arial"/>
          <w:sz w:val="16"/>
          <w:szCs w:val="16"/>
          <w:lang w:val="es-ES"/>
        </w:rPr>
        <w:t>b) Número de Registro Único de Contribuyentes (RUC) o número o código de identificación fiscal otorgado en su país de residencia, o ubicación en caso de establecimientos permanentes. Para el caso de personas naturales, en ausencia de los anteriores, se deberá reportar el número de identificación o cédula de ciudadanía, otorgado por un organismo del Estado de donde sea residente;</w:t>
      </w:r>
    </w:p>
    <w:p w:rsidR="00C210B7" w:rsidRDefault="00C210B7" w:rsidP="00C210B7">
      <w:pPr>
        <w:jc w:val="both"/>
        <w:rPr>
          <w:rFonts w:ascii="Arial" w:hAnsi="Arial" w:cs="Arial"/>
          <w:sz w:val="16"/>
          <w:szCs w:val="16"/>
          <w:lang w:val="es-ES"/>
        </w:rPr>
      </w:pPr>
      <w:r w:rsidRPr="00C210B7">
        <w:rPr>
          <w:rFonts w:ascii="Arial" w:hAnsi="Arial" w:cs="Arial"/>
          <w:sz w:val="16"/>
          <w:szCs w:val="16"/>
          <w:lang w:val="es-ES"/>
        </w:rPr>
        <w:t>c) Tipo de persona (natural o jurídica), y en el caso de ser persona jurídica extranjera no residente en Ecuador, especificar el tipo de sociedad de que se trate y su figura jurídica;</w:t>
      </w:r>
    </w:p>
    <w:p w:rsidR="00C210B7" w:rsidRDefault="00C210B7" w:rsidP="00C210B7">
      <w:pPr>
        <w:jc w:val="both"/>
        <w:rPr>
          <w:rFonts w:ascii="Arial" w:hAnsi="Arial" w:cs="Arial"/>
          <w:sz w:val="16"/>
          <w:szCs w:val="16"/>
          <w:lang w:val="es-ES"/>
        </w:rPr>
      </w:pPr>
      <w:r w:rsidRPr="00C210B7">
        <w:rPr>
          <w:rFonts w:ascii="Arial" w:hAnsi="Arial" w:cs="Arial"/>
          <w:sz w:val="16"/>
          <w:szCs w:val="16"/>
          <w:lang w:val="es-ES"/>
        </w:rPr>
        <w:t>d) País de nacionalidad para el caso de personas naturales;</w:t>
      </w:r>
    </w:p>
    <w:p w:rsidR="00C210B7" w:rsidRDefault="00C210B7" w:rsidP="00C210B7">
      <w:pPr>
        <w:jc w:val="both"/>
        <w:rPr>
          <w:rFonts w:ascii="Arial" w:hAnsi="Arial" w:cs="Arial"/>
          <w:sz w:val="16"/>
          <w:szCs w:val="16"/>
          <w:lang w:val="es-ES"/>
        </w:rPr>
      </w:pPr>
      <w:r w:rsidRPr="00C210B7">
        <w:rPr>
          <w:rFonts w:ascii="Arial" w:hAnsi="Arial" w:cs="Arial"/>
          <w:sz w:val="16"/>
          <w:szCs w:val="16"/>
          <w:lang w:val="es-ES"/>
        </w:rPr>
        <w:t>e) País y jurisdicción de residencia fiscal;</w:t>
      </w:r>
    </w:p>
    <w:p w:rsidR="00C210B7" w:rsidRDefault="00C210B7" w:rsidP="00C210B7">
      <w:pPr>
        <w:jc w:val="both"/>
        <w:rPr>
          <w:rFonts w:ascii="Arial" w:hAnsi="Arial" w:cs="Arial"/>
          <w:sz w:val="16"/>
          <w:szCs w:val="16"/>
          <w:lang w:val="es-ES"/>
        </w:rPr>
      </w:pPr>
      <w:r w:rsidRPr="00C210B7">
        <w:rPr>
          <w:rFonts w:ascii="Arial" w:hAnsi="Arial" w:cs="Arial"/>
          <w:sz w:val="16"/>
          <w:szCs w:val="16"/>
          <w:lang w:val="es-ES"/>
        </w:rPr>
        <w:t>f) Porcentaje de participación de cada uno de los titulares o beneficiarios de derechos representativos de capital en la composición societaria; y,</w:t>
      </w:r>
    </w:p>
    <w:p w:rsidR="00C210B7" w:rsidRDefault="00C210B7" w:rsidP="00C210B7">
      <w:pPr>
        <w:jc w:val="both"/>
        <w:rPr>
          <w:rFonts w:ascii="Arial" w:hAnsi="Arial" w:cs="Arial"/>
          <w:sz w:val="16"/>
          <w:szCs w:val="16"/>
          <w:lang w:val="es-ES"/>
        </w:rPr>
      </w:pPr>
      <w:r w:rsidRPr="00C210B7">
        <w:rPr>
          <w:rFonts w:ascii="Arial" w:hAnsi="Arial" w:cs="Arial"/>
          <w:sz w:val="16"/>
          <w:szCs w:val="16"/>
          <w:lang w:val="es-ES"/>
        </w:rPr>
        <w:t>g) Señalamiento sobre si sus titulares o beneficiarios de derechos representativos de capital, miembros de directorio o administradores, de acuerdo a la normativa tributaria ecuatoriana vigente, son partes relacionadas del sujeto obligado.</w:t>
      </w:r>
    </w:p>
    <w:p w:rsidR="00C210B7" w:rsidRDefault="00C210B7" w:rsidP="00C210B7">
      <w:pPr>
        <w:jc w:val="both"/>
        <w:rPr>
          <w:rFonts w:ascii="Arial" w:hAnsi="Arial" w:cs="Arial"/>
          <w:sz w:val="16"/>
          <w:szCs w:val="16"/>
          <w:lang w:val="es-ES"/>
        </w:rPr>
      </w:pPr>
      <w:r w:rsidRPr="00C210B7">
        <w:rPr>
          <w:rFonts w:ascii="Arial" w:hAnsi="Arial" w:cs="Arial"/>
          <w:b/>
          <w:bCs/>
          <w:sz w:val="16"/>
          <w:szCs w:val="16"/>
          <w:lang w:val="es-ES"/>
        </w:rPr>
        <w:t>Artículo 5. Casos Especiales.- </w:t>
      </w:r>
      <w:r w:rsidRPr="00C210B7">
        <w:rPr>
          <w:rFonts w:ascii="Arial" w:hAnsi="Arial" w:cs="Arial"/>
          <w:sz w:val="16"/>
          <w:szCs w:val="16"/>
          <w:lang w:val="es-ES"/>
        </w:rPr>
        <w:t>En los casos descritos a continuación, el sujeto obligado deberá reportar la información en los niveles previstos en el artículo 7 de esta resolución, de conformidad con las reglas siguientes:</w:t>
      </w:r>
    </w:p>
    <w:p w:rsidR="00C210B7" w:rsidRDefault="00C210B7" w:rsidP="00C210B7">
      <w:pPr>
        <w:jc w:val="both"/>
        <w:rPr>
          <w:rFonts w:ascii="Arial" w:hAnsi="Arial" w:cs="Arial"/>
          <w:sz w:val="16"/>
          <w:szCs w:val="16"/>
          <w:lang w:val="es-ES"/>
        </w:rPr>
      </w:pPr>
      <w:r w:rsidRPr="00C210B7">
        <w:rPr>
          <w:rFonts w:ascii="Arial" w:hAnsi="Arial" w:cs="Arial"/>
          <w:sz w:val="16"/>
          <w:szCs w:val="16"/>
          <w:lang w:val="es-ES"/>
        </w:rPr>
        <w:t>a) Cuando el sujeto obligado sea una institución de carácter privado sin fines de lucro, deberá reportar la información de sus miembros de directorio, administradores, socios fundadores, así como de las personas naturales o jurídicas que hayan efectuado, durante el ejercicio fiscal informado, aportes o donaciones, acumulados, superiores a dos fracciones básicas gravadas con tarifa cero para el cálculo del Impuesto a la Renta de personas naturales, vigente para el ejercicio fiscal informado;</w:t>
      </w:r>
    </w:p>
    <w:p w:rsidR="00C210B7" w:rsidRDefault="00C210B7" w:rsidP="00C210B7">
      <w:pPr>
        <w:jc w:val="both"/>
        <w:rPr>
          <w:rFonts w:ascii="Arial" w:hAnsi="Arial" w:cs="Arial"/>
          <w:sz w:val="16"/>
          <w:szCs w:val="16"/>
          <w:lang w:val="es-ES"/>
        </w:rPr>
      </w:pPr>
      <w:r w:rsidRPr="00C210B7">
        <w:rPr>
          <w:rFonts w:ascii="Arial" w:hAnsi="Arial" w:cs="Arial"/>
          <w:sz w:val="16"/>
          <w:szCs w:val="16"/>
          <w:lang w:val="es-ES"/>
        </w:rPr>
        <w:t xml:space="preserve">b) Cuando el sujeto obligado sea una organización del sector no financiero que se encuentre bajo el régimen de la Ley Orgánica de </w:t>
      </w:r>
      <w:r w:rsidRPr="00C210B7">
        <w:rPr>
          <w:rFonts w:ascii="Arial" w:hAnsi="Arial" w:cs="Arial"/>
          <w:sz w:val="16"/>
          <w:szCs w:val="16"/>
          <w:lang w:val="es-ES"/>
        </w:rPr>
        <w:lastRenderedPageBreak/>
        <w:t>la Economía Popular y Solidaria, deberá reportar la información de los socios cuyo certificados de aportación, en el ejercicio fiscal informado, superen dos fracciones básicas gravadas con tarifa cero para el cálculo del Impuesto a la Renta de personas naturales, vigente para dicho ejercicio;</w:t>
      </w:r>
    </w:p>
    <w:p w:rsidR="00C210B7" w:rsidRDefault="00C210B7" w:rsidP="00C210B7">
      <w:pPr>
        <w:jc w:val="both"/>
        <w:rPr>
          <w:rFonts w:ascii="Arial" w:hAnsi="Arial" w:cs="Arial"/>
          <w:sz w:val="16"/>
          <w:szCs w:val="16"/>
          <w:lang w:val="es-ES"/>
        </w:rPr>
      </w:pPr>
      <w:r w:rsidRPr="00C210B7">
        <w:rPr>
          <w:rFonts w:ascii="Arial" w:hAnsi="Arial" w:cs="Arial"/>
          <w:sz w:val="16"/>
          <w:szCs w:val="16"/>
          <w:lang w:val="es-ES"/>
        </w:rPr>
        <w:t>c) Cuando el sujeto obligado sea una entidad del sector financiero popular y solidario, deberá reportar la información de sus miembros del directorio, administradores y de los socios cuyos certificados de aportación, en el ejercicio fiscal informado, superen dos fracciones básicas gravadas con tarifa cero para el cálculo del Impuesto a la Renta de personas naturales, vigente para el ejercicio fiscal informado;</w:t>
      </w:r>
      <w:r w:rsidRPr="00C210B7">
        <w:rPr>
          <w:rFonts w:ascii="Arial" w:hAnsi="Arial" w:cs="Arial"/>
          <w:sz w:val="16"/>
          <w:szCs w:val="16"/>
          <w:lang w:val="es-ES"/>
        </w:rPr>
        <w:br/>
      </w:r>
      <w:r w:rsidRPr="00C210B7">
        <w:rPr>
          <w:rFonts w:ascii="Arial" w:hAnsi="Arial" w:cs="Arial"/>
          <w:sz w:val="16"/>
          <w:szCs w:val="16"/>
          <w:lang w:val="es-ES"/>
        </w:rPr>
        <w:br/>
        <w:t>d) Cuando el sujeto obligado sea un fondo de inversión o complementario, además del administrador del fondo, deberá reportar la información de aquellos titulares, cuyos derechos representativos de capital superen dos fracciones básicas gravadas con tarifa cero para el cálculo del Impuesto a la Renta de personas naturales, vigente para el ejercicio fiscal informado; y,</w:t>
      </w:r>
    </w:p>
    <w:p w:rsidR="00C210B7" w:rsidRDefault="00C210B7" w:rsidP="00C210B7">
      <w:pPr>
        <w:jc w:val="both"/>
        <w:rPr>
          <w:rFonts w:ascii="Arial" w:hAnsi="Arial" w:cs="Arial"/>
          <w:sz w:val="16"/>
          <w:szCs w:val="16"/>
          <w:lang w:val="es-ES"/>
        </w:rPr>
      </w:pPr>
      <w:r w:rsidRPr="00C210B7">
        <w:rPr>
          <w:rFonts w:ascii="Arial" w:hAnsi="Arial" w:cs="Arial"/>
          <w:sz w:val="16"/>
          <w:szCs w:val="16"/>
          <w:lang w:val="es-ES"/>
        </w:rPr>
        <w:t>e) Cuando el sujeto obligado sea un fideicomiso, deberá reportar la información relativa a sus administradores, constituyentes y beneficiarios.</w:t>
      </w:r>
      <w:r w:rsidRPr="00C210B7">
        <w:rPr>
          <w:rFonts w:ascii="Arial" w:hAnsi="Arial" w:cs="Arial"/>
          <w:sz w:val="16"/>
          <w:szCs w:val="16"/>
          <w:lang w:val="es-ES"/>
        </w:rPr>
        <w:br/>
      </w:r>
      <w:r w:rsidRPr="00C210B7">
        <w:rPr>
          <w:rFonts w:ascii="Arial" w:hAnsi="Arial" w:cs="Arial"/>
          <w:sz w:val="16"/>
          <w:szCs w:val="16"/>
          <w:lang w:val="es-ES"/>
        </w:rPr>
        <w:br/>
      </w:r>
      <w:r w:rsidRPr="00C210B7">
        <w:rPr>
          <w:rFonts w:ascii="Arial" w:hAnsi="Arial" w:cs="Arial"/>
          <w:b/>
          <w:bCs/>
          <w:sz w:val="16"/>
          <w:szCs w:val="16"/>
          <w:lang w:val="es-ES"/>
        </w:rPr>
        <w:t>Artículo 6.- Información relacionada con derechos representativos de capital cotizados en bolsas de valores.</w:t>
      </w:r>
      <w:r w:rsidRPr="00C210B7">
        <w:rPr>
          <w:rFonts w:ascii="Arial" w:hAnsi="Arial" w:cs="Arial"/>
          <w:sz w:val="16"/>
          <w:szCs w:val="16"/>
          <w:lang w:val="es-ES"/>
        </w:rPr>
        <w:t>- En los casos en que el sujeto obligado o sus titulares o beneficiarios de derechos representativos de capital, sean sociedades que coticen dichos derechos en bolsas de valores del Ecuador o del exterior, el sujeto obligado deberá reportar al menos el ochenta por ciento (80%) de la composición societaria del sujeto obligado y de dichos titulares o beneficiarios. Para el efecto, se deberá ordenar y reportar por cada nivel la información de conformidad con los artículos 4 y 7 de la presente resolución, de forma descendente, de acuerdo a la participación de sus titulares o beneficiarios.</w:t>
      </w:r>
    </w:p>
    <w:p w:rsidR="00C210B7" w:rsidRDefault="00C210B7" w:rsidP="00C210B7">
      <w:pPr>
        <w:jc w:val="both"/>
        <w:rPr>
          <w:rFonts w:ascii="Arial" w:hAnsi="Arial" w:cs="Arial"/>
          <w:sz w:val="16"/>
          <w:szCs w:val="16"/>
          <w:lang w:val="es-ES"/>
        </w:rPr>
      </w:pPr>
      <w:r w:rsidRPr="00C210B7">
        <w:rPr>
          <w:rFonts w:ascii="Arial" w:hAnsi="Arial" w:cs="Arial"/>
          <w:sz w:val="16"/>
          <w:szCs w:val="16"/>
          <w:lang w:val="es-ES"/>
        </w:rPr>
        <w:t>Sin perjuicio de lo señalado en el inciso anterior, se deberá informar sobre todo titular o beneficiario de derechos representativos de capital que posea el dos por ciento (2%) o más de la composición societaria.</w:t>
      </w:r>
      <w:r w:rsidRPr="00C210B7">
        <w:rPr>
          <w:rFonts w:ascii="Arial" w:hAnsi="Arial" w:cs="Arial"/>
          <w:sz w:val="16"/>
          <w:szCs w:val="16"/>
          <w:lang w:val="es-ES"/>
        </w:rPr>
        <w:br/>
      </w:r>
      <w:r w:rsidRPr="00C210B7">
        <w:rPr>
          <w:rFonts w:ascii="Arial" w:hAnsi="Arial" w:cs="Arial"/>
          <w:sz w:val="16"/>
          <w:szCs w:val="16"/>
          <w:lang w:val="es-ES"/>
        </w:rPr>
        <w:br/>
      </w:r>
      <w:r w:rsidRPr="00C210B7">
        <w:rPr>
          <w:rFonts w:ascii="Arial" w:hAnsi="Arial" w:cs="Arial"/>
          <w:b/>
          <w:bCs/>
          <w:sz w:val="16"/>
          <w:szCs w:val="16"/>
          <w:lang w:val="es-ES"/>
        </w:rPr>
        <w:t>Artículo 7.- Niveles de la composición societaria a reportar.- </w:t>
      </w:r>
      <w:r w:rsidRPr="00C210B7">
        <w:rPr>
          <w:rFonts w:ascii="Arial" w:hAnsi="Arial" w:cs="Arial"/>
          <w:sz w:val="16"/>
          <w:szCs w:val="16"/>
          <w:lang w:val="es-ES"/>
        </w:rPr>
        <w:t>En general, la información a reportar corresponderá únicamente al primer nivel de la composición societaria, salvo cuando los titulares o beneficiarios de derechos representativos de capital, o los miembros de directorio o los administradores de la sociedad obligada a presentar este anexo, sean partes relacionadas del sujeto obligado, o sociedades no residentes sin establecimiento permanente en el Ecuador, en cuyo caso se deberá reportar de éstos, la información señalada en el artículo 4 de esta resolución, por cada nivel, sucesivamente hasta llegar al último nivel de la composición societaria.</w:t>
      </w:r>
    </w:p>
    <w:p w:rsidR="00C210B7" w:rsidRDefault="00C210B7" w:rsidP="00C210B7">
      <w:pPr>
        <w:jc w:val="both"/>
        <w:rPr>
          <w:rFonts w:ascii="Arial" w:hAnsi="Arial" w:cs="Arial"/>
          <w:sz w:val="16"/>
          <w:szCs w:val="16"/>
          <w:lang w:val="es-ES"/>
        </w:rPr>
      </w:pPr>
      <w:r w:rsidRPr="00C210B7">
        <w:rPr>
          <w:rFonts w:ascii="Arial" w:hAnsi="Arial" w:cs="Arial"/>
          <w:b/>
          <w:bCs/>
          <w:sz w:val="16"/>
          <w:szCs w:val="16"/>
          <w:lang w:val="es-ES"/>
        </w:rPr>
        <w:t>Artículo 8.- Información de titulares de derechos representativos de capital residentes en paraísos fiscales.- </w:t>
      </w:r>
      <w:r w:rsidRPr="00C210B7">
        <w:rPr>
          <w:rFonts w:ascii="Arial" w:hAnsi="Arial" w:cs="Arial"/>
          <w:sz w:val="16"/>
          <w:szCs w:val="16"/>
          <w:lang w:val="es-ES"/>
        </w:rPr>
        <w:t>En todos los casos, en que el sujeto obligado tenga, directa o indirectamente, titulares o beneficiarios de derechos representativos de capital, residentes o establecidos en paraísos fiscales, regímenes fiscales preferentes o jurisdicciones de menor imposición, éste deberá reportar la información correspondiente a dichos titulares o beneficiarios, por cada nivel de la composición societaria hasta llegar al último nivel, inclusive en los casos previstos en los artículos 5 y 6 de la presente resolución.</w:t>
      </w:r>
    </w:p>
    <w:p w:rsidR="00C210B7" w:rsidRDefault="00C210B7" w:rsidP="00C210B7">
      <w:pPr>
        <w:jc w:val="both"/>
        <w:rPr>
          <w:rFonts w:ascii="Arial" w:hAnsi="Arial" w:cs="Arial"/>
          <w:sz w:val="16"/>
          <w:szCs w:val="16"/>
          <w:lang w:val="es-ES"/>
        </w:rPr>
      </w:pPr>
      <w:r w:rsidRPr="00C210B7">
        <w:rPr>
          <w:rFonts w:ascii="Arial" w:hAnsi="Arial" w:cs="Arial"/>
          <w:b/>
          <w:bCs/>
          <w:sz w:val="16"/>
          <w:szCs w:val="16"/>
          <w:lang w:val="es-ES"/>
        </w:rPr>
        <w:lastRenderedPageBreak/>
        <w:t>Artículo 9. Excepciones.- </w:t>
      </w:r>
      <w:r w:rsidRPr="00C210B7">
        <w:rPr>
          <w:rFonts w:ascii="Arial" w:hAnsi="Arial" w:cs="Arial"/>
          <w:sz w:val="16"/>
          <w:szCs w:val="16"/>
          <w:lang w:val="es-ES"/>
        </w:rPr>
        <w:t>No estarán obligados a presentar la información requerida en la presente resolución:</w:t>
      </w:r>
    </w:p>
    <w:p w:rsidR="00C210B7" w:rsidRDefault="00C210B7" w:rsidP="00C210B7">
      <w:pPr>
        <w:jc w:val="both"/>
        <w:rPr>
          <w:rFonts w:ascii="Arial" w:hAnsi="Arial" w:cs="Arial"/>
          <w:sz w:val="16"/>
          <w:szCs w:val="16"/>
          <w:lang w:val="es-ES"/>
        </w:rPr>
      </w:pPr>
      <w:r w:rsidRPr="00C210B7">
        <w:rPr>
          <w:rFonts w:ascii="Arial" w:hAnsi="Arial" w:cs="Arial"/>
          <w:sz w:val="16"/>
          <w:szCs w:val="16"/>
          <w:lang w:val="es-ES"/>
        </w:rPr>
        <w:t>a) Sucesiones indivisas.</w:t>
      </w:r>
    </w:p>
    <w:p w:rsidR="00C210B7" w:rsidRDefault="00C210B7" w:rsidP="00C210B7">
      <w:pPr>
        <w:jc w:val="both"/>
        <w:rPr>
          <w:rFonts w:ascii="Arial" w:hAnsi="Arial" w:cs="Arial"/>
          <w:sz w:val="16"/>
          <w:szCs w:val="16"/>
          <w:lang w:val="es-ES"/>
        </w:rPr>
      </w:pPr>
      <w:r w:rsidRPr="00C210B7">
        <w:rPr>
          <w:rFonts w:ascii="Arial" w:hAnsi="Arial" w:cs="Arial"/>
          <w:sz w:val="16"/>
          <w:szCs w:val="16"/>
          <w:lang w:val="es-ES"/>
        </w:rPr>
        <w:t>b) Instituciones del Estado, según la definición señalada en la Constitución de la República del Ecuador.</w:t>
      </w:r>
    </w:p>
    <w:p w:rsidR="00C210B7" w:rsidRDefault="00C210B7" w:rsidP="00C210B7">
      <w:pPr>
        <w:jc w:val="both"/>
        <w:rPr>
          <w:rFonts w:ascii="Arial" w:hAnsi="Arial" w:cs="Arial"/>
          <w:sz w:val="16"/>
          <w:szCs w:val="16"/>
          <w:lang w:val="es-ES"/>
        </w:rPr>
      </w:pPr>
      <w:r w:rsidRPr="00C210B7">
        <w:rPr>
          <w:rFonts w:ascii="Arial" w:hAnsi="Arial" w:cs="Arial"/>
          <w:sz w:val="16"/>
          <w:szCs w:val="16"/>
          <w:lang w:val="es-ES"/>
        </w:rPr>
        <w:t>c) Empresas públicas reguladas por la Ley Orgánica de Empresas Públicas.</w:t>
      </w:r>
      <w:r w:rsidRPr="00C210B7">
        <w:rPr>
          <w:rFonts w:ascii="Arial" w:hAnsi="Arial" w:cs="Arial"/>
          <w:sz w:val="16"/>
          <w:szCs w:val="16"/>
          <w:lang w:val="es-ES"/>
        </w:rPr>
        <w:br/>
      </w:r>
      <w:r w:rsidRPr="00C210B7">
        <w:rPr>
          <w:rFonts w:ascii="Arial" w:hAnsi="Arial" w:cs="Arial"/>
          <w:sz w:val="16"/>
          <w:szCs w:val="16"/>
          <w:lang w:val="es-ES"/>
        </w:rPr>
        <w:br/>
        <w:t>d) Misiones y Organismos Internacionales reconocidos por el Estado ecuatoriano.</w:t>
      </w:r>
      <w:r w:rsidRPr="00C210B7">
        <w:rPr>
          <w:rFonts w:ascii="Arial" w:hAnsi="Arial" w:cs="Arial"/>
          <w:sz w:val="16"/>
          <w:szCs w:val="16"/>
          <w:lang w:val="es-ES"/>
        </w:rPr>
        <w:br/>
      </w:r>
      <w:r w:rsidRPr="00C210B7">
        <w:rPr>
          <w:rFonts w:ascii="Arial" w:hAnsi="Arial" w:cs="Arial"/>
          <w:sz w:val="16"/>
          <w:szCs w:val="16"/>
          <w:lang w:val="es-ES"/>
        </w:rPr>
        <w:br/>
        <w:t>e) Organizaciones del sector no financiero de la Economía Popular y Solidaria, cuyo capital social sea igual o inferior a dieciocho (18) fracciones básicas gravadas con tarifa cero para el cálculo del Impuesto a la Renta de personas naturales, o que por disposición reglamentaria se encuentren en un régimen abreviado para el cumplimiento de sus deberes formales.</w:t>
      </w:r>
    </w:p>
    <w:p w:rsidR="00C210B7" w:rsidRDefault="00C210B7" w:rsidP="00C210B7">
      <w:pPr>
        <w:jc w:val="both"/>
        <w:rPr>
          <w:rFonts w:ascii="Arial" w:hAnsi="Arial" w:cs="Arial"/>
          <w:sz w:val="16"/>
          <w:szCs w:val="16"/>
          <w:lang w:val="es-ES"/>
        </w:rPr>
      </w:pPr>
      <w:r w:rsidRPr="00C210B7">
        <w:rPr>
          <w:rFonts w:ascii="Arial" w:hAnsi="Arial" w:cs="Arial"/>
          <w:b/>
          <w:bCs/>
          <w:sz w:val="16"/>
          <w:szCs w:val="16"/>
          <w:lang w:val="es-ES"/>
        </w:rPr>
        <w:t>Artículo 10. Forma de Presentación- </w:t>
      </w:r>
      <w:r w:rsidRPr="00C210B7">
        <w:rPr>
          <w:rFonts w:ascii="Arial" w:hAnsi="Arial" w:cs="Arial"/>
          <w:sz w:val="16"/>
          <w:szCs w:val="16"/>
          <w:lang w:val="es-ES"/>
        </w:rPr>
        <w:t>El </w:t>
      </w:r>
      <w:r w:rsidRPr="00C210B7">
        <w:rPr>
          <w:rFonts w:ascii="Arial" w:hAnsi="Arial" w:cs="Arial"/>
          <w:i/>
          <w:iCs/>
          <w:sz w:val="16"/>
          <w:szCs w:val="16"/>
          <w:lang w:val="es-ES"/>
        </w:rPr>
        <w:t>"Anexo de Accionistas, Partícipes, Socios, Miembros de Directorio y Administradores" </w:t>
      </w:r>
      <w:r w:rsidRPr="00C210B7">
        <w:rPr>
          <w:rFonts w:ascii="Arial" w:hAnsi="Arial" w:cs="Arial"/>
          <w:sz w:val="16"/>
          <w:szCs w:val="16"/>
          <w:lang w:val="es-ES"/>
        </w:rPr>
        <w:t>deberá ser presentado al Servicio de Rentas Internas a través de su página web: </w:t>
      </w:r>
      <w:r w:rsidRPr="00C210B7">
        <w:rPr>
          <w:rFonts w:ascii="Arial" w:hAnsi="Arial" w:cs="Arial"/>
          <w:sz w:val="16"/>
          <w:szCs w:val="16"/>
          <w:u w:val="single"/>
          <w:lang w:val="es-ES"/>
        </w:rPr>
        <w:t>www.sri.gob.</w:t>
      </w:r>
      <w:r w:rsidRPr="00C210B7">
        <w:rPr>
          <w:rFonts w:ascii="Arial" w:hAnsi="Arial" w:cs="Arial"/>
          <w:sz w:val="16"/>
          <w:szCs w:val="16"/>
          <w:lang w:val="es-ES"/>
        </w:rPr>
        <w:t>ec, de conformidad con el formato y las especificaciones contenidas en la respectiva ficha técnica, disponible en la mencionada página web.</w:t>
      </w:r>
    </w:p>
    <w:p w:rsidR="00C210B7" w:rsidRPr="00C210B7" w:rsidRDefault="00C210B7" w:rsidP="00C210B7">
      <w:pPr>
        <w:jc w:val="both"/>
        <w:rPr>
          <w:rFonts w:ascii="Arial" w:hAnsi="Arial" w:cs="Arial"/>
          <w:sz w:val="16"/>
          <w:szCs w:val="16"/>
          <w:lang w:val="es-ES"/>
        </w:rPr>
      </w:pPr>
      <w:r w:rsidRPr="00C210B7">
        <w:rPr>
          <w:rFonts w:ascii="Arial" w:hAnsi="Arial" w:cs="Arial"/>
          <w:b/>
          <w:bCs/>
          <w:sz w:val="16"/>
          <w:szCs w:val="16"/>
          <w:lang w:val="es-ES"/>
        </w:rPr>
        <w:t>Artículo 11. Plazos para la presentación del anexo- </w:t>
      </w:r>
      <w:r w:rsidRPr="00C210B7">
        <w:rPr>
          <w:rFonts w:ascii="Arial" w:hAnsi="Arial" w:cs="Arial"/>
          <w:sz w:val="16"/>
          <w:szCs w:val="16"/>
          <w:lang w:val="es-ES"/>
        </w:rPr>
        <w:t>De manera general, la información a reportar será aquella con corte al 31 de diciembre del respectivo ejercicio fiscal y se presentará en el mes de febrero del ejercicio fiscal siguiente al que corresponda dicha información, considerando el noveno dígito del Registro Único de Contribuyentes (RUC) del sujeto obligado, según el calendario señalado a continuación: </w:t>
      </w:r>
    </w:p>
    <w:tbl>
      <w:tblPr>
        <w:tblStyle w:val="Tablaconcuadrcula"/>
        <w:tblW w:w="0" w:type="auto"/>
        <w:tblInd w:w="720" w:type="dxa"/>
        <w:tblLook w:val="04A0" w:firstRow="1" w:lastRow="0" w:firstColumn="1" w:lastColumn="0" w:noHBand="0" w:noVBand="1"/>
      </w:tblPr>
      <w:tblGrid>
        <w:gridCol w:w="1373"/>
        <w:gridCol w:w="1984"/>
      </w:tblGrid>
      <w:tr w:rsidR="00C210B7" w:rsidRPr="00C210B7" w:rsidTr="00C210B7">
        <w:tc>
          <w:tcPr>
            <w:tcW w:w="1373" w:type="dxa"/>
            <w:shd w:val="clear" w:color="auto" w:fill="31440F" w:themeFill="accent5" w:themeFillShade="80"/>
            <w:hideMark/>
          </w:tcPr>
          <w:p w:rsidR="00C210B7" w:rsidRPr="00C210B7" w:rsidRDefault="00C210B7" w:rsidP="00C210B7">
            <w:pPr>
              <w:jc w:val="center"/>
              <w:rPr>
                <w:rFonts w:ascii="Arial" w:hAnsi="Arial" w:cs="Arial"/>
                <w:sz w:val="16"/>
                <w:szCs w:val="16"/>
                <w:lang w:val="es-ES"/>
              </w:rPr>
            </w:pPr>
            <w:r w:rsidRPr="00C210B7">
              <w:rPr>
                <w:rFonts w:ascii="Arial" w:hAnsi="Arial" w:cs="Arial"/>
                <w:b/>
                <w:bCs/>
                <w:sz w:val="16"/>
                <w:szCs w:val="16"/>
                <w:lang w:val="es-ES"/>
              </w:rPr>
              <w:t>Noveno dígito del RUC</w:t>
            </w:r>
          </w:p>
        </w:tc>
        <w:tc>
          <w:tcPr>
            <w:tcW w:w="1984" w:type="dxa"/>
            <w:shd w:val="clear" w:color="auto" w:fill="31440F" w:themeFill="accent5" w:themeFillShade="80"/>
            <w:hideMark/>
          </w:tcPr>
          <w:p w:rsidR="00C210B7" w:rsidRPr="00C210B7" w:rsidRDefault="00C210B7" w:rsidP="00C210B7">
            <w:pPr>
              <w:jc w:val="center"/>
              <w:rPr>
                <w:rFonts w:ascii="Arial" w:hAnsi="Arial" w:cs="Arial"/>
                <w:sz w:val="16"/>
                <w:szCs w:val="16"/>
                <w:lang w:val="es-ES"/>
              </w:rPr>
            </w:pPr>
            <w:r w:rsidRPr="00C210B7">
              <w:rPr>
                <w:rFonts w:ascii="Arial" w:hAnsi="Arial" w:cs="Arial"/>
                <w:b/>
                <w:bCs/>
                <w:sz w:val="16"/>
                <w:szCs w:val="16"/>
                <w:lang w:val="es-ES"/>
              </w:rPr>
              <w:t>Fecha máxima de entrega</w:t>
            </w:r>
          </w:p>
        </w:tc>
      </w:tr>
      <w:tr w:rsidR="00C210B7" w:rsidRPr="00C210B7" w:rsidTr="00C210B7">
        <w:tc>
          <w:tcPr>
            <w:tcW w:w="1373" w:type="dxa"/>
            <w:hideMark/>
          </w:tcPr>
          <w:p w:rsidR="00C210B7" w:rsidRPr="00C210B7" w:rsidRDefault="00C210B7" w:rsidP="00C210B7">
            <w:pPr>
              <w:jc w:val="center"/>
              <w:rPr>
                <w:rFonts w:ascii="Arial" w:hAnsi="Arial" w:cs="Arial"/>
                <w:sz w:val="16"/>
                <w:szCs w:val="16"/>
                <w:lang w:val="es-ES"/>
              </w:rPr>
            </w:pPr>
            <w:r w:rsidRPr="00C210B7">
              <w:rPr>
                <w:rFonts w:ascii="Arial" w:hAnsi="Arial" w:cs="Arial"/>
                <w:sz w:val="16"/>
                <w:szCs w:val="16"/>
                <w:lang w:val="es-ES"/>
              </w:rPr>
              <w:t>1</w:t>
            </w:r>
          </w:p>
        </w:tc>
        <w:tc>
          <w:tcPr>
            <w:tcW w:w="1984" w:type="dxa"/>
            <w:hideMark/>
          </w:tcPr>
          <w:p w:rsidR="00C210B7" w:rsidRPr="00C210B7" w:rsidRDefault="00C210B7" w:rsidP="00C210B7">
            <w:pPr>
              <w:jc w:val="center"/>
              <w:rPr>
                <w:rFonts w:ascii="Arial" w:hAnsi="Arial" w:cs="Arial"/>
                <w:sz w:val="16"/>
                <w:szCs w:val="16"/>
                <w:lang w:val="es-ES"/>
              </w:rPr>
            </w:pPr>
            <w:r w:rsidRPr="00C210B7">
              <w:rPr>
                <w:rFonts w:ascii="Arial" w:hAnsi="Arial" w:cs="Arial"/>
                <w:sz w:val="16"/>
                <w:szCs w:val="16"/>
                <w:lang w:val="es-ES"/>
              </w:rPr>
              <w:t>10 de febrero</w:t>
            </w:r>
          </w:p>
        </w:tc>
      </w:tr>
      <w:tr w:rsidR="00C210B7" w:rsidRPr="00C210B7" w:rsidTr="00C210B7">
        <w:trPr>
          <w:trHeight w:val="59"/>
        </w:trPr>
        <w:tc>
          <w:tcPr>
            <w:tcW w:w="1373" w:type="dxa"/>
            <w:hideMark/>
          </w:tcPr>
          <w:p w:rsidR="00C210B7" w:rsidRPr="00C210B7" w:rsidRDefault="00C210B7" w:rsidP="00C210B7">
            <w:pPr>
              <w:jc w:val="center"/>
              <w:rPr>
                <w:rFonts w:ascii="Arial" w:hAnsi="Arial" w:cs="Arial"/>
                <w:sz w:val="16"/>
                <w:szCs w:val="16"/>
                <w:lang w:val="es-ES"/>
              </w:rPr>
            </w:pPr>
            <w:r w:rsidRPr="00C210B7">
              <w:rPr>
                <w:rFonts w:ascii="Arial" w:hAnsi="Arial" w:cs="Arial"/>
                <w:sz w:val="16"/>
                <w:szCs w:val="16"/>
                <w:lang w:val="es-ES"/>
              </w:rPr>
              <w:t>2</w:t>
            </w:r>
          </w:p>
        </w:tc>
        <w:tc>
          <w:tcPr>
            <w:tcW w:w="1984" w:type="dxa"/>
            <w:hideMark/>
          </w:tcPr>
          <w:p w:rsidR="00C210B7" w:rsidRPr="00C210B7" w:rsidRDefault="00C210B7" w:rsidP="00C210B7">
            <w:pPr>
              <w:jc w:val="center"/>
              <w:rPr>
                <w:rFonts w:ascii="Arial" w:hAnsi="Arial" w:cs="Arial"/>
                <w:sz w:val="16"/>
                <w:szCs w:val="16"/>
                <w:lang w:val="es-ES"/>
              </w:rPr>
            </w:pPr>
            <w:r w:rsidRPr="00C210B7">
              <w:rPr>
                <w:rFonts w:ascii="Arial" w:hAnsi="Arial" w:cs="Arial"/>
                <w:sz w:val="16"/>
                <w:szCs w:val="16"/>
                <w:lang w:val="es-ES"/>
              </w:rPr>
              <w:t>12 de febrero</w:t>
            </w:r>
          </w:p>
        </w:tc>
      </w:tr>
      <w:tr w:rsidR="00C210B7" w:rsidRPr="00C210B7" w:rsidTr="00C210B7">
        <w:tc>
          <w:tcPr>
            <w:tcW w:w="1373" w:type="dxa"/>
            <w:hideMark/>
          </w:tcPr>
          <w:p w:rsidR="00C210B7" w:rsidRPr="00C210B7" w:rsidRDefault="00C210B7" w:rsidP="00C210B7">
            <w:pPr>
              <w:jc w:val="center"/>
              <w:rPr>
                <w:rFonts w:ascii="Arial" w:hAnsi="Arial" w:cs="Arial"/>
                <w:sz w:val="16"/>
                <w:szCs w:val="16"/>
                <w:lang w:val="es-ES"/>
              </w:rPr>
            </w:pPr>
            <w:r w:rsidRPr="00C210B7">
              <w:rPr>
                <w:rFonts w:ascii="Arial" w:hAnsi="Arial" w:cs="Arial"/>
                <w:sz w:val="16"/>
                <w:szCs w:val="16"/>
                <w:lang w:val="es-ES"/>
              </w:rPr>
              <w:t>3</w:t>
            </w:r>
          </w:p>
        </w:tc>
        <w:tc>
          <w:tcPr>
            <w:tcW w:w="1984" w:type="dxa"/>
            <w:hideMark/>
          </w:tcPr>
          <w:p w:rsidR="00C210B7" w:rsidRPr="00C210B7" w:rsidRDefault="00C210B7" w:rsidP="00C210B7">
            <w:pPr>
              <w:jc w:val="center"/>
              <w:rPr>
                <w:rFonts w:ascii="Arial" w:hAnsi="Arial" w:cs="Arial"/>
                <w:sz w:val="16"/>
                <w:szCs w:val="16"/>
                <w:lang w:val="es-ES"/>
              </w:rPr>
            </w:pPr>
            <w:r w:rsidRPr="00C210B7">
              <w:rPr>
                <w:rFonts w:ascii="Arial" w:hAnsi="Arial" w:cs="Arial"/>
                <w:sz w:val="16"/>
                <w:szCs w:val="16"/>
                <w:lang w:val="es-ES"/>
              </w:rPr>
              <w:t>14 de febrero</w:t>
            </w:r>
          </w:p>
        </w:tc>
      </w:tr>
      <w:tr w:rsidR="00C210B7" w:rsidRPr="00C210B7" w:rsidTr="00C210B7">
        <w:trPr>
          <w:trHeight w:val="59"/>
        </w:trPr>
        <w:tc>
          <w:tcPr>
            <w:tcW w:w="1373" w:type="dxa"/>
            <w:hideMark/>
          </w:tcPr>
          <w:p w:rsidR="00C210B7" w:rsidRPr="00C210B7" w:rsidRDefault="00C210B7" w:rsidP="00C210B7">
            <w:pPr>
              <w:jc w:val="center"/>
              <w:rPr>
                <w:rFonts w:ascii="Arial" w:hAnsi="Arial" w:cs="Arial"/>
                <w:sz w:val="16"/>
                <w:szCs w:val="16"/>
                <w:lang w:val="es-ES"/>
              </w:rPr>
            </w:pPr>
            <w:r w:rsidRPr="00C210B7">
              <w:rPr>
                <w:rFonts w:ascii="Arial" w:hAnsi="Arial" w:cs="Arial"/>
                <w:sz w:val="16"/>
                <w:szCs w:val="16"/>
                <w:lang w:val="es-ES"/>
              </w:rPr>
              <w:t>4</w:t>
            </w:r>
          </w:p>
        </w:tc>
        <w:tc>
          <w:tcPr>
            <w:tcW w:w="1984" w:type="dxa"/>
            <w:hideMark/>
          </w:tcPr>
          <w:p w:rsidR="00C210B7" w:rsidRPr="00C210B7" w:rsidRDefault="00C210B7" w:rsidP="00C210B7">
            <w:pPr>
              <w:jc w:val="center"/>
              <w:rPr>
                <w:rFonts w:ascii="Arial" w:hAnsi="Arial" w:cs="Arial"/>
                <w:sz w:val="16"/>
                <w:szCs w:val="16"/>
                <w:lang w:val="es-ES"/>
              </w:rPr>
            </w:pPr>
            <w:r w:rsidRPr="00C210B7">
              <w:rPr>
                <w:rFonts w:ascii="Arial" w:hAnsi="Arial" w:cs="Arial"/>
                <w:sz w:val="16"/>
                <w:szCs w:val="16"/>
                <w:lang w:val="es-ES"/>
              </w:rPr>
              <w:t>16 de febrero</w:t>
            </w:r>
          </w:p>
        </w:tc>
      </w:tr>
      <w:tr w:rsidR="00C210B7" w:rsidRPr="00C210B7" w:rsidTr="00C210B7">
        <w:tc>
          <w:tcPr>
            <w:tcW w:w="1373" w:type="dxa"/>
            <w:hideMark/>
          </w:tcPr>
          <w:p w:rsidR="00C210B7" w:rsidRPr="00C210B7" w:rsidRDefault="00C210B7" w:rsidP="00C210B7">
            <w:pPr>
              <w:jc w:val="center"/>
              <w:rPr>
                <w:rFonts w:ascii="Arial" w:hAnsi="Arial" w:cs="Arial"/>
                <w:sz w:val="16"/>
                <w:szCs w:val="16"/>
                <w:lang w:val="es-ES"/>
              </w:rPr>
            </w:pPr>
            <w:r w:rsidRPr="00C210B7">
              <w:rPr>
                <w:rFonts w:ascii="Arial" w:hAnsi="Arial" w:cs="Arial"/>
                <w:sz w:val="16"/>
                <w:szCs w:val="16"/>
                <w:lang w:val="es-ES"/>
              </w:rPr>
              <w:t>5</w:t>
            </w:r>
          </w:p>
        </w:tc>
        <w:tc>
          <w:tcPr>
            <w:tcW w:w="1984" w:type="dxa"/>
            <w:hideMark/>
          </w:tcPr>
          <w:p w:rsidR="00C210B7" w:rsidRPr="00C210B7" w:rsidRDefault="00C210B7" w:rsidP="00C210B7">
            <w:pPr>
              <w:jc w:val="center"/>
              <w:rPr>
                <w:rFonts w:ascii="Arial" w:hAnsi="Arial" w:cs="Arial"/>
                <w:sz w:val="16"/>
                <w:szCs w:val="16"/>
                <w:lang w:val="es-ES"/>
              </w:rPr>
            </w:pPr>
            <w:r w:rsidRPr="00C210B7">
              <w:rPr>
                <w:rFonts w:ascii="Arial" w:hAnsi="Arial" w:cs="Arial"/>
                <w:sz w:val="16"/>
                <w:szCs w:val="16"/>
                <w:lang w:val="es-ES"/>
              </w:rPr>
              <w:t>18 de febrero</w:t>
            </w:r>
          </w:p>
        </w:tc>
      </w:tr>
      <w:tr w:rsidR="00C210B7" w:rsidRPr="00C210B7" w:rsidTr="00C210B7">
        <w:tc>
          <w:tcPr>
            <w:tcW w:w="1373" w:type="dxa"/>
            <w:hideMark/>
          </w:tcPr>
          <w:p w:rsidR="00C210B7" w:rsidRPr="00C210B7" w:rsidRDefault="00C210B7" w:rsidP="00C210B7">
            <w:pPr>
              <w:jc w:val="center"/>
              <w:rPr>
                <w:rFonts w:ascii="Arial" w:hAnsi="Arial" w:cs="Arial"/>
                <w:sz w:val="16"/>
                <w:szCs w:val="16"/>
                <w:lang w:val="es-ES"/>
              </w:rPr>
            </w:pPr>
            <w:r w:rsidRPr="00C210B7">
              <w:rPr>
                <w:rFonts w:ascii="Arial" w:hAnsi="Arial" w:cs="Arial"/>
                <w:sz w:val="16"/>
                <w:szCs w:val="16"/>
                <w:lang w:val="es-ES"/>
              </w:rPr>
              <w:t>6</w:t>
            </w:r>
          </w:p>
        </w:tc>
        <w:tc>
          <w:tcPr>
            <w:tcW w:w="1984" w:type="dxa"/>
            <w:hideMark/>
          </w:tcPr>
          <w:p w:rsidR="00C210B7" w:rsidRPr="00C210B7" w:rsidRDefault="00C210B7" w:rsidP="00C210B7">
            <w:pPr>
              <w:jc w:val="center"/>
              <w:rPr>
                <w:rFonts w:ascii="Arial" w:hAnsi="Arial" w:cs="Arial"/>
                <w:sz w:val="16"/>
                <w:szCs w:val="16"/>
                <w:lang w:val="es-ES"/>
              </w:rPr>
            </w:pPr>
            <w:r w:rsidRPr="00C210B7">
              <w:rPr>
                <w:rFonts w:ascii="Arial" w:hAnsi="Arial" w:cs="Arial"/>
                <w:sz w:val="16"/>
                <w:szCs w:val="16"/>
                <w:lang w:val="es-ES"/>
              </w:rPr>
              <w:t>20 de febrero</w:t>
            </w:r>
          </w:p>
        </w:tc>
      </w:tr>
      <w:tr w:rsidR="00C210B7" w:rsidRPr="00C210B7" w:rsidTr="00C210B7">
        <w:tc>
          <w:tcPr>
            <w:tcW w:w="1373" w:type="dxa"/>
            <w:hideMark/>
          </w:tcPr>
          <w:p w:rsidR="00C210B7" w:rsidRPr="00C210B7" w:rsidRDefault="00C210B7" w:rsidP="00C210B7">
            <w:pPr>
              <w:jc w:val="center"/>
              <w:rPr>
                <w:rFonts w:ascii="Arial" w:hAnsi="Arial" w:cs="Arial"/>
                <w:sz w:val="16"/>
                <w:szCs w:val="16"/>
                <w:lang w:val="es-ES"/>
              </w:rPr>
            </w:pPr>
            <w:r w:rsidRPr="00C210B7">
              <w:rPr>
                <w:rFonts w:ascii="Arial" w:hAnsi="Arial" w:cs="Arial"/>
                <w:sz w:val="16"/>
                <w:szCs w:val="16"/>
                <w:lang w:val="es-ES"/>
              </w:rPr>
              <w:t>7</w:t>
            </w:r>
          </w:p>
        </w:tc>
        <w:tc>
          <w:tcPr>
            <w:tcW w:w="1984" w:type="dxa"/>
            <w:hideMark/>
          </w:tcPr>
          <w:p w:rsidR="00C210B7" w:rsidRPr="00C210B7" w:rsidRDefault="00C210B7" w:rsidP="00C210B7">
            <w:pPr>
              <w:jc w:val="center"/>
              <w:rPr>
                <w:rFonts w:ascii="Arial" w:hAnsi="Arial" w:cs="Arial"/>
                <w:sz w:val="16"/>
                <w:szCs w:val="16"/>
                <w:lang w:val="es-ES"/>
              </w:rPr>
            </w:pPr>
            <w:r w:rsidRPr="00C210B7">
              <w:rPr>
                <w:rFonts w:ascii="Arial" w:hAnsi="Arial" w:cs="Arial"/>
                <w:sz w:val="16"/>
                <w:szCs w:val="16"/>
                <w:lang w:val="es-ES"/>
              </w:rPr>
              <w:t>22 de febrero</w:t>
            </w:r>
          </w:p>
        </w:tc>
      </w:tr>
      <w:tr w:rsidR="00C210B7" w:rsidRPr="00C210B7" w:rsidTr="00C210B7">
        <w:tc>
          <w:tcPr>
            <w:tcW w:w="1373" w:type="dxa"/>
            <w:hideMark/>
          </w:tcPr>
          <w:p w:rsidR="00C210B7" w:rsidRPr="00C210B7" w:rsidRDefault="00C210B7" w:rsidP="00C210B7">
            <w:pPr>
              <w:jc w:val="center"/>
              <w:rPr>
                <w:rFonts w:ascii="Arial" w:hAnsi="Arial" w:cs="Arial"/>
                <w:sz w:val="16"/>
                <w:szCs w:val="16"/>
                <w:lang w:val="es-ES"/>
              </w:rPr>
            </w:pPr>
            <w:r w:rsidRPr="00C210B7">
              <w:rPr>
                <w:rFonts w:ascii="Arial" w:hAnsi="Arial" w:cs="Arial"/>
                <w:sz w:val="16"/>
                <w:szCs w:val="16"/>
                <w:lang w:val="es-ES"/>
              </w:rPr>
              <w:t>8</w:t>
            </w:r>
          </w:p>
        </w:tc>
        <w:tc>
          <w:tcPr>
            <w:tcW w:w="1984" w:type="dxa"/>
            <w:hideMark/>
          </w:tcPr>
          <w:p w:rsidR="00C210B7" w:rsidRPr="00C210B7" w:rsidRDefault="00C210B7" w:rsidP="00C210B7">
            <w:pPr>
              <w:jc w:val="center"/>
              <w:rPr>
                <w:rFonts w:ascii="Arial" w:hAnsi="Arial" w:cs="Arial"/>
                <w:sz w:val="16"/>
                <w:szCs w:val="16"/>
                <w:lang w:val="es-ES"/>
              </w:rPr>
            </w:pPr>
            <w:r w:rsidRPr="00C210B7">
              <w:rPr>
                <w:rFonts w:ascii="Arial" w:hAnsi="Arial" w:cs="Arial"/>
                <w:sz w:val="16"/>
                <w:szCs w:val="16"/>
                <w:lang w:val="es-ES"/>
              </w:rPr>
              <w:t>24 de febrero</w:t>
            </w:r>
          </w:p>
        </w:tc>
      </w:tr>
      <w:tr w:rsidR="00C210B7" w:rsidRPr="00C210B7" w:rsidTr="00C210B7">
        <w:tc>
          <w:tcPr>
            <w:tcW w:w="1373" w:type="dxa"/>
            <w:hideMark/>
          </w:tcPr>
          <w:p w:rsidR="00C210B7" w:rsidRPr="00C210B7" w:rsidRDefault="00C210B7" w:rsidP="00C210B7">
            <w:pPr>
              <w:jc w:val="center"/>
              <w:rPr>
                <w:rFonts w:ascii="Arial" w:hAnsi="Arial" w:cs="Arial"/>
                <w:sz w:val="16"/>
                <w:szCs w:val="16"/>
                <w:lang w:val="es-ES"/>
              </w:rPr>
            </w:pPr>
            <w:r w:rsidRPr="00C210B7">
              <w:rPr>
                <w:rFonts w:ascii="Arial" w:hAnsi="Arial" w:cs="Arial"/>
                <w:sz w:val="16"/>
                <w:szCs w:val="16"/>
                <w:lang w:val="es-ES"/>
              </w:rPr>
              <w:t>9</w:t>
            </w:r>
          </w:p>
        </w:tc>
        <w:tc>
          <w:tcPr>
            <w:tcW w:w="1984" w:type="dxa"/>
            <w:hideMark/>
          </w:tcPr>
          <w:p w:rsidR="00C210B7" w:rsidRPr="00C210B7" w:rsidRDefault="00C210B7" w:rsidP="00C210B7">
            <w:pPr>
              <w:jc w:val="center"/>
              <w:rPr>
                <w:rFonts w:ascii="Arial" w:hAnsi="Arial" w:cs="Arial"/>
                <w:sz w:val="16"/>
                <w:szCs w:val="16"/>
                <w:lang w:val="es-ES"/>
              </w:rPr>
            </w:pPr>
            <w:r w:rsidRPr="00C210B7">
              <w:rPr>
                <w:rFonts w:ascii="Arial" w:hAnsi="Arial" w:cs="Arial"/>
                <w:sz w:val="16"/>
                <w:szCs w:val="16"/>
                <w:lang w:val="es-ES"/>
              </w:rPr>
              <w:t>26 de febrero</w:t>
            </w:r>
          </w:p>
        </w:tc>
      </w:tr>
      <w:tr w:rsidR="00C210B7" w:rsidRPr="00C210B7" w:rsidTr="00C210B7">
        <w:trPr>
          <w:trHeight w:val="59"/>
        </w:trPr>
        <w:tc>
          <w:tcPr>
            <w:tcW w:w="1373" w:type="dxa"/>
            <w:hideMark/>
          </w:tcPr>
          <w:p w:rsidR="00C210B7" w:rsidRPr="00C210B7" w:rsidRDefault="00C210B7" w:rsidP="00C210B7">
            <w:pPr>
              <w:jc w:val="center"/>
              <w:rPr>
                <w:rFonts w:ascii="Arial" w:hAnsi="Arial" w:cs="Arial"/>
                <w:sz w:val="16"/>
                <w:szCs w:val="16"/>
                <w:lang w:val="es-ES"/>
              </w:rPr>
            </w:pPr>
            <w:r w:rsidRPr="00C210B7">
              <w:rPr>
                <w:rFonts w:ascii="Arial" w:hAnsi="Arial" w:cs="Arial"/>
                <w:sz w:val="16"/>
                <w:szCs w:val="16"/>
                <w:lang w:val="es-ES"/>
              </w:rPr>
              <w:t>0</w:t>
            </w:r>
          </w:p>
        </w:tc>
        <w:tc>
          <w:tcPr>
            <w:tcW w:w="1984" w:type="dxa"/>
            <w:hideMark/>
          </w:tcPr>
          <w:p w:rsidR="00C210B7" w:rsidRPr="00C210B7" w:rsidRDefault="00C210B7" w:rsidP="00C210B7">
            <w:pPr>
              <w:jc w:val="center"/>
              <w:rPr>
                <w:rFonts w:ascii="Arial" w:hAnsi="Arial" w:cs="Arial"/>
                <w:sz w:val="16"/>
                <w:szCs w:val="16"/>
                <w:lang w:val="es-ES"/>
              </w:rPr>
            </w:pPr>
            <w:r w:rsidRPr="00C210B7">
              <w:rPr>
                <w:rFonts w:ascii="Arial" w:hAnsi="Arial" w:cs="Arial"/>
                <w:sz w:val="16"/>
                <w:szCs w:val="16"/>
                <w:lang w:val="es-ES"/>
              </w:rPr>
              <w:t>28 de febrero</w:t>
            </w:r>
          </w:p>
        </w:tc>
      </w:tr>
    </w:tbl>
    <w:p w:rsidR="00C210B7" w:rsidRDefault="00C210B7" w:rsidP="00C210B7">
      <w:pPr>
        <w:jc w:val="both"/>
        <w:rPr>
          <w:rFonts w:ascii="Arial" w:hAnsi="Arial" w:cs="Arial"/>
          <w:sz w:val="16"/>
          <w:szCs w:val="16"/>
          <w:lang w:val="es-ES"/>
        </w:rPr>
      </w:pPr>
    </w:p>
    <w:p w:rsidR="00C210B7" w:rsidRPr="00C210B7" w:rsidRDefault="00C210B7" w:rsidP="00C210B7">
      <w:pPr>
        <w:jc w:val="both"/>
        <w:rPr>
          <w:rFonts w:ascii="Arial" w:hAnsi="Arial" w:cs="Arial"/>
          <w:sz w:val="16"/>
          <w:szCs w:val="16"/>
          <w:lang w:val="es-ES"/>
        </w:rPr>
      </w:pPr>
      <w:r w:rsidRPr="00C210B7">
        <w:rPr>
          <w:rFonts w:ascii="Arial" w:hAnsi="Arial" w:cs="Arial"/>
          <w:sz w:val="16"/>
          <w:szCs w:val="16"/>
          <w:lang w:val="es-ES"/>
        </w:rPr>
        <w:t>No obstante lo dispuesto en el inciso anterior, en el caso de sociedades constituidas o establecidas en el transcurso del ejercicio fiscal, o en los que el sujeto obligado presente cualquier cambio en la composición societaria y demás información prevista en esta resolución, se deberá presentar el anexo en el mes subsiguiente en que se produjo la constitución o el cambio, con corte al último día del período que se informe, de acuerdo al siguiente calendario: </w:t>
      </w:r>
    </w:p>
    <w:tbl>
      <w:tblPr>
        <w:tblW w:w="3745" w:type="dxa"/>
        <w:jc w:val="center"/>
        <w:tblInd w:w="1875"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1276"/>
        <w:gridCol w:w="2469"/>
      </w:tblGrid>
      <w:tr w:rsidR="00C210B7" w:rsidRPr="00C210B7" w:rsidTr="00C210B7">
        <w:trPr>
          <w:jc w:val="center"/>
        </w:trPr>
        <w:tc>
          <w:tcPr>
            <w:tcW w:w="1276" w:type="dxa"/>
            <w:tcBorders>
              <w:top w:val="outset" w:sz="6" w:space="0" w:color="auto"/>
              <w:left w:val="outset" w:sz="6" w:space="0" w:color="auto"/>
              <w:bottom w:val="outset" w:sz="6" w:space="0" w:color="auto"/>
              <w:right w:val="outset" w:sz="6" w:space="0" w:color="auto"/>
            </w:tcBorders>
            <w:shd w:val="clear" w:color="auto" w:fill="31440F" w:themeFill="accent5" w:themeFillShade="80"/>
            <w:tcMar>
              <w:top w:w="0" w:type="dxa"/>
              <w:left w:w="0" w:type="dxa"/>
              <w:bottom w:w="0" w:type="dxa"/>
              <w:right w:w="0" w:type="dxa"/>
            </w:tcMar>
            <w:vAlign w:val="center"/>
            <w:hideMark/>
          </w:tcPr>
          <w:p w:rsidR="00C210B7" w:rsidRPr="00C210B7" w:rsidRDefault="00C210B7" w:rsidP="00C210B7">
            <w:pPr>
              <w:spacing w:after="0" w:line="240" w:lineRule="auto"/>
              <w:jc w:val="center"/>
              <w:rPr>
                <w:rFonts w:ascii="Arial" w:hAnsi="Arial" w:cs="Arial"/>
                <w:sz w:val="16"/>
                <w:szCs w:val="16"/>
                <w:lang w:val="es-ES"/>
              </w:rPr>
            </w:pPr>
            <w:r w:rsidRPr="00C210B7">
              <w:rPr>
                <w:rFonts w:ascii="Arial" w:hAnsi="Arial" w:cs="Arial"/>
                <w:b/>
                <w:bCs/>
                <w:sz w:val="16"/>
                <w:szCs w:val="16"/>
                <w:lang w:val="es-ES"/>
              </w:rPr>
              <w:t>Noveno dígito del RUC</w:t>
            </w:r>
          </w:p>
        </w:tc>
        <w:tc>
          <w:tcPr>
            <w:tcW w:w="2469" w:type="dxa"/>
            <w:tcBorders>
              <w:top w:val="outset" w:sz="6" w:space="0" w:color="auto"/>
              <w:left w:val="outset" w:sz="6" w:space="0" w:color="auto"/>
              <w:bottom w:val="single" w:sz="4" w:space="0" w:color="auto"/>
              <w:right w:val="outset" w:sz="6" w:space="0" w:color="auto"/>
            </w:tcBorders>
            <w:shd w:val="clear" w:color="auto" w:fill="31440F" w:themeFill="accent5" w:themeFillShade="80"/>
            <w:tcMar>
              <w:top w:w="0" w:type="dxa"/>
              <w:left w:w="0" w:type="dxa"/>
              <w:bottom w:w="0" w:type="dxa"/>
              <w:right w:w="0" w:type="dxa"/>
            </w:tcMar>
            <w:vAlign w:val="center"/>
            <w:hideMark/>
          </w:tcPr>
          <w:p w:rsidR="00C210B7" w:rsidRPr="00C210B7" w:rsidRDefault="00C210B7" w:rsidP="00C210B7">
            <w:pPr>
              <w:spacing w:after="0" w:line="240" w:lineRule="auto"/>
              <w:jc w:val="center"/>
              <w:rPr>
                <w:rFonts w:ascii="Arial" w:hAnsi="Arial" w:cs="Arial"/>
                <w:sz w:val="16"/>
                <w:szCs w:val="16"/>
                <w:lang w:val="es-ES"/>
              </w:rPr>
            </w:pPr>
            <w:r w:rsidRPr="00C210B7">
              <w:rPr>
                <w:rFonts w:ascii="Arial" w:hAnsi="Arial" w:cs="Arial"/>
                <w:b/>
                <w:bCs/>
                <w:sz w:val="16"/>
                <w:szCs w:val="16"/>
                <w:lang w:val="es-ES"/>
              </w:rPr>
              <w:t>Fecha máxima de entrega (Mes subsiguiente al que corresponda la información)</w:t>
            </w:r>
          </w:p>
        </w:tc>
      </w:tr>
      <w:tr w:rsidR="00C210B7" w:rsidRPr="00C210B7" w:rsidTr="00C210B7">
        <w:trPr>
          <w:jc w:val="center"/>
        </w:trPr>
        <w:tc>
          <w:tcPr>
            <w:tcW w:w="1276" w:type="dxa"/>
            <w:tcBorders>
              <w:top w:val="outset" w:sz="6" w:space="0" w:color="auto"/>
              <w:left w:val="outset" w:sz="6" w:space="0" w:color="auto"/>
              <w:bottom w:val="outset" w:sz="6" w:space="0" w:color="auto"/>
              <w:right w:val="single" w:sz="4" w:space="0" w:color="auto"/>
            </w:tcBorders>
            <w:shd w:val="clear" w:color="auto" w:fill="FFFFFF"/>
            <w:tcMar>
              <w:top w:w="0" w:type="dxa"/>
              <w:left w:w="0" w:type="dxa"/>
              <w:bottom w:w="0" w:type="dxa"/>
              <w:right w:w="0" w:type="dxa"/>
            </w:tcMar>
            <w:vAlign w:val="center"/>
            <w:hideMark/>
          </w:tcPr>
          <w:p w:rsidR="00C210B7" w:rsidRPr="00C210B7" w:rsidRDefault="00C210B7" w:rsidP="00C210B7">
            <w:pPr>
              <w:spacing w:after="0" w:line="240" w:lineRule="auto"/>
              <w:jc w:val="center"/>
              <w:rPr>
                <w:rFonts w:ascii="Arial" w:hAnsi="Arial" w:cs="Arial"/>
                <w:sz w:val="16"/>
                <w:szCs w:val="16"/>
                <w:lang w:val="es-ES"/>
              </w:rPr>
            </w:pPr>
            <w:r w:rsidRPr="00C210B7">
              <w:rPr>
                <w:rFonts w:ascii="Arial" w:hAnsi="Arial" w:cs="Arial"/>
                <w:sz w:val="16"/>
                <w:szCs w:val="16"/>
                <w:lang w:val="es-ES"/>
              </w:rPr>
              <w:t>1</w:t>
            </w:r>
          </w:p>
        </w:tc>
        <w:tc>
          <w:tcPr>
            <w:tcW w:w="2469"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hideMark/>
          </w:tcPr>
          <w:p w:rsidR="00C210B7" w:rsidRPr="00C210B7" w:rsidRDefault="00C210B7" w:rsidP="00C210B7">
            <w:pPr>
              <w:spacing w:after="0" w:line="240" w:lineRule="auto"/>
              <w:jc w:val="center"/>
              <w:rPr>
                <w:rFonts w:ascii="Arial" w:hAnsi="Arial" w:cs="Arial"/>
                <w:sz w:val="16"/>
                <w:szCs w:val="16"/>
                <w:lang w:val="es-ES"/>
              </w:rPr>
            </w:pPr>
            <w:r w:rsidRPr="00C210B7">
              <w:rPr>
                <w:rFonts w:ascii="Arial" w:hAnsi="Arial" w:cs="Arial"/>
                <w:sz w:val="16"/>
                <w:szCs w:val="16"/>
                <w:lang w:val="es-ES"/>
              </w:rPr>
              <w:t>10</w:t>
            </w:r>
          </w:p>
        </w:tc>
      </w:tr>
      <w:tr w:rsidR="00C210B7" w:rsidRPr="00C210B7" w:rsidTr="00C210B7">
        <w:trPr>
          <w:jc w:val="center"/>
        </w:trPr>
        <w:tc>
          <w:tcPr>
            <w:tcW w:w="1276" w:type="dxa"/>
            <w:tcBorders>
              <w:top w:val="outset" w:sz="6" w:space="0" w:color="auto"/>
              <w:left w:val="outset" w:sz="6" w:space="0" w:color="auto"/>
              <w:bottom w:val="outset" w:sz="6" w:space="0" w:color="auto"/>
              <w:right w:val="single" w:sz="4" w:space="0" w:color="auto"/>
            </w:tcBorders>
            <w:shd w:val="clear" w:color="auto" w:fill="FFFFFF"/>
            <w:tcMar>
              <w:top w:w="0" w:type="dxa"/>
              <w:left w:w="0" w:type="dxa"/>
              <w:bottom w:w="0" w:type="dxa"/>
              <w:right w:w="0" w:type="dxa"/>
            </w:tcMar>
            <w:vAlign w:val="center"/>
            <w:hideMark/>
          </w:tcPr>
          <w:p w:rsidR="00C210B7" w:rsidRPr="00C210B7" w:rsidRDefault="00C210B7" w:rsidP="00C210B7">
            <w:pPr>
              <w:spacing w:after="0" w:line="240" w:lineRule="auto"/>
              <w:jc w:val="center"/>
              <w:rPr>
                <w:rFonts w:ascii="Arial" w:hAnsi="Arial" w:cs="Arial"/>
                <w:sz w:val="16"/>
                <w:szCs w:val="16"/>
                <w:lang w:val="es-ES"/>
              </w:rPr>
            </w:pPr>
            <w:r w:rsidRPr="00C210B7">
              <w:rPr>
                <w:rFonts w:ascii="Arial" w:hAnsi="Arial" w:cs="Arial"/>
                <w:sz w:val="16"/>
                <w:szCs w:val="16"/>
                <w:lang w:val="es-ES"/>
              </w:rPr>
              <w:t>2</w:t>
            </w:r>
          </w:p>
        </w:tc>
        <w:tc>
          <w:tcPr>
            <w:tcW w:w="2469"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hideMark/>
          </w:tcPr>
          <w:p w:rsidR="00C210B7" w:rsidRPr="00C210B7" w:rsidRDefault="00C210B7" w:rsidP="00C210B7">
            <w:pPr>
              <w:spacing w:after="0" w:line="240" w:lineRule="auto"/>
              <w:jc w:val="center"/>
              <w:rPr>
                <w:rFonts w:ascii="Arial" w:hAnsi="Arial" w:cs="Arial"/>
                <w:sz w:val="16"/>
                <w:szCs w:val="16"/>
                <w:lang w:val="es-ES"/>
              </w:rPr>
            </w:pPr>
            <w:r w:rsidRPr="00C210B7">
              <w:rPr>
                <w:rFonts w:ascii="Arial" w:hAnsi="Arial" w:cs="Arial"/>
                <w:sz w:val="16"/>
                <w:szCs w:val="16"/>
                <w:lang w:val="es-ES"/>
              </w:rPr>
              <w:t>12</w:t>
            </w:r>
          </w:p>
        </w:tc>
      </w:tr>
      <w:tr w:rsidR="00C210B7" w:rsidRPr="00C210B7" w:rsidTr="00C210B7">
        <w:trPr>
          <w:jc w:val="center"/>
        </w:trPr>
        <w:tc>
          <w:tcPr>
            <w:tcW w:w="1276" w:type="dxa"/>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C210B7" w:rsidRPr="00C210B7" w:rsidRDefault="00C210B7" w:rsidP="00C210B7">
            <w:pPr>
              <w:spacing w:after="0" w:line="240" w:lineRule="auto"/>
              <w:jc w:val="center"/>
              <w:rPr>
                <w:rFonts w:ascii="Arial" w:hAnsi="Arial" w:cs="Arial"/>
                <w:sz w:val="16"/>
                <w:szCs w:val="16"/>
                <w:lang w:val="es-ES"/>
              </w:rPr>
            </w:pPr>
            <w:r w:rsidRPr="00C210B7">
              <w:rPr>
                <w:rFonts w:ascii="Arial" w:hAnsi="Arial" w:cs="Arial"/>
                <w:sz w:val="16"/>
                <w:szCs w:val="16"/>
                <w:lang w:val="es-ES"/>
              </w:rPr>
              <w:t>3</w:t>
            </w:r>
          </w:p>
        </w:tc>
        <w:tc>
          <w:tcPr>
            <w:tcW w:w="2469" w:type="dxa"/>
            <w:tcBorders>
              <w:top w:val="single" w:sz="4"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C210B7" w:rsidRPr="00C210B7" w:rsidRDefault="00C210B7" w:rsidP="00C210B7">
            <w:pPr>
              <w:spacing w:after="0" w:line="240" w:lineRule="auto"/>
              <w:jc w:val="center"/>
              <w:rPr>
                <w:rFonts w:ascii="Arial" w:hAnsi="Arial" w:cs="Arial"/>
                <w:sz w:val="16"/>
                <w:szCs w:val="16"/>
                <w:lang w:val="es-ES"/>
              </w:rPr>
            </w:pPr>
            <w:r w:rsidRPr="00C210B7">
              <w:rPr>
                <w:rFonts w:ascii="Arial" w:hAnsi="Arial" w:cs="Arial"/>
                <w:sz w:val="16"/>
                <w:szCs w:val="16"/>
                <w:lang w:val="es-ES"/>
              </w:rPr>
              <w:t>14</w:t>
            </w:r>
          </w:p>
        </w:tc>
      </w:tr>
      <w:tr w:rsidR="00C210B7" w:rsidRPr="00C210B7" w:rsidTr="00C210B7">
        <w:trPr>
          <w:jc w:val="center"/>
        </w:trPr>
        <w:tc>
          <w:tcPr>
            <w:tcW w:w="1276" w:type="dxa"/>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C210B7" w:rsidRPr="00C210B7" w:rsidRDefault="00C210B7" w:rsidP="00C210B7">
            <w:pPr>
              <w:spacing w:after="0" w:line="240" w:lineRule="auto"/>
              <w:jc w:val="center"/>
              <w:rPr>
                <w:rFonts w:ascii="Arial" w:hAnsi="Arial" w:cs="Arial"/>
                <w:sz w:val="16"/>
                <w:szCs w:val="16"/>
                <w:lang w:val="es-ES"/>
              </w:rPr>
            </w:pPr>
            <w:r w:rsidRPr="00C210B7">
              <w:rPr>
                <w:rFonts w:ascii="Arial" w:hAnsi="Arial" w:cs="Arial"/>
                <w:sz w:val="16"/>
                <w:szCs w:val="16"/>
                <w:lang w:val="es-ES"/>
              </w:rPr>
              <w:t>4</w:t>
            </w:r>
          </w:p>
        </w:tc>
        <w:tc>
          <w:tcPr>
            <w:tcW w:w="2469" w:type="dxa"/>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C210B7" w:rsidRPr="00C210B7" w:rsidRDefault="00C210B7" w:rsidP="00C210B7">
            <w:pPr>
              <w:spacing w:after="0" w:line="240" w:lineRule="auto"/>
              <w:jc w:val="center"/>
              <w:rPr>
                <w:rFonts w:ascii="Arial" w:hAnsi="Arial" w:cs="Arial"/>
                <w:sz w:val="16"/>
                <w:szCs w:val="16"/>
                <w:lang w:val="es-ES"/>
              </w:rPr>
            </w:pPr>
            <w:r w:rsidRPr="00C210B7">
              <w:rPr>
                <w:rFonts w:ascii="Arial" w:hAnsi="Arial" w:cs="Arial"/>
                <w:sz w:val="16"/>
                <w:szCs w:val="16"/>
                <w:lang w:val="es-ES"/>
              </w:rPr>
              <w:t>16</w:t>
            </w:r>
          </w:p>
        </w:tc>
      </w:tr>
      <w:tr w:rsidR="00C210B7" w:rsidRPr="00C210B7" w:rsidTr="00C210B7">
        <w:trPr>
          <w:jc w:val="center"/>
        </w:trPr>
        <w:tc>
          <w:tcPr>
            <w:tcW w:w="1276" w:type="dxa"/>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C210B7" w:rsidRPr="00C210B7" w:rsidRDefault="00C210B7" w:rsidP="00C210B7">
            <w:pPr>
              <w:spacing w:after="0" w:line="240" w:lineRule="auto"/>
              <w:jc w:val="center"/>
              <w:rPr>
                <w:rFonts w:ascii="Arial" w:hAnsi="Arial" w:cs="Arial"/>
                <w:sz w:val="16"/>
                <w:szCs w:val="16"/>
                <w:lang w:val="es-ES"/>
              </w:rPr>
            </w:pPr>
            <w:r w:rsidRPr="00C210B7">
              <w:rPr>
                <w:rFonts w:ascii="Arial" w:hAnsi="Arial" w:cs="Arial"/>
                <w:sz w:val="16"/>
                <w:szCs w:val="16"/>
                <w:lang w:val="es-ES"/>
              </w:rPr>
              <w:t>5</w:t>
            </w:r>
          </w:p>
        </w:tc>
        <w:tc>
          <w:tcPr>
            <w:tcW w:w="2469" w:type="dxa"/>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C210B7" w:rsidRPr="00C210B7" w:rsidRDefault="00C210B7" w:rsidP="00C210B7">
            <w:pPr>
              <w:spacing w:after="0" w:line="240" w:lineRule="auto"/>
              <w:jc w:val="center"/>
              <w:rPr>
                <w:rFonts w:ascii="Arial" w:hAnsi="Arial" w:cs="Arial"/>
                <w:sz w:val="16"/>
                <w:szCs w:val="16"/>
                <w:lang w:val="es-ES"/>
              </w:rPr>
            </w:pPr>
            <w:r w:rsidRPr="00C210B7">
              <w:rPr>
                <w:rFonts w:ascii="Arial" w:hAnsi="Arial" w:cs="Arial"/>
                <w:sz w:val="16"/>
                <w:szCs w:val="16"/>
                <w:lang w:val="es-ES"/>
              </w:rPr>
              <w:t>18</w:t>
            </w:r>
          </w:p>
        </w:tc>
      </w:tr>
      <w:tr w:rsidR="00C210B7" w:rsidRPr="00C210B7" w:rsidTr="00C210B7">
        <w:trPr>
          <w:jc w:val="center"/>
        </w:trPr>
        <w:tc>
          <w:tcPr>
            <w:tcW w:w="1276" w:type="dxa"/>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C210B7" w:rsidRPr="00C210B7" w:rsidRDefault="00C210B7" w:rsidP="00C210B7">
            <w:pPr>
              <w:spacing w:after="0" w:line="240" w:lineRule="auto"/>
              <w:jc w:val="center"/>
              <w:rPr>
                <w:rFonts w:ascii="Arial" w:hAnsi="Arial" w:cs="Arial"/>
                <w:sz w:val="16"/>
                <w:szCs w:val="16"/>
                <w:lang w:val="es-ES"/>
              </w:rPr>
            </w:pPr>
            <w:r w:rsidRPr="00C210B7">
              <w:rPr>
                <w:rFonts w:ascii="Arial" w:hAnsi="Arial" w:cs="Arial"/>
                <w:sz w:val="16"/>
                <w:szCs w:val="16"/>
                <w:lang w:val="es-ES"/>
              </w:rPr>
              <w:t>6</w:t>
            </w:r>
          </w:p>
        </w:tc>
        <w:tc>
          <w:tcPr>
            <w:tcW w:w="2469" w:type="dxa"/>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C210B7" w:rsidRPr="00C210B7" w:rsidRDefault="00C210B7" w:rsidP="00C210B7">
            <w:pPr>
              <w:spacing w:after="0" w:line="240" w:lineRule="auto"/>
              <w:jc w:val="center"/>
              <w:rPr>
                <w:rFonts w:ascii="Arial" w:hAnsi="Arial" w:cs="Arial"/>
                <w:sz w:val="16"/>
                <w:szCs w:val="16"/>
                <w:lang w:val="es-ES"/>
              </w:rPr>
            </w:pPr>
            <w:r w:rsidRPr="00C210B7">
              <w:rPr>
                <w:rFonts w:ascii="Arial" w:hAnsi="Arial" w:cs="Arial"/>
                <w:sz w:val="16"/>
                <w:szCs w:val="16"/>
                <w:lang w:val="es-ES"/>
              </w:rPr>
              <w:t>20</w:t>
            </w:r>
          </w:p>
        </w:tc>
      </w:tr>
      <w:tr w:rsidR="00C210B7" w:rsidRPr="00C210B7" w:rsidTr="00C210B7">
        <w:trPr>
          <w:jc w:val="center"/>
        </w:trPr>
        <w:tc>
          <w:tcPr>
            <w:tcW w:w="1276" w:type="dxa"/>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C210B7" w:rsidRPr="00C210B7" w:rsidRDefault="00C210B7" w:rsidP="00C210B7">
            <w:pPr>
              <w:spacing w:after="0" w:line="240" w:lineRule="auto"/>
              <w:jc w:val="center"/>
              <w:rPr>
                <w:rFonts w:ascii="Arial" w:hAnsi="Arial" w:cs="Arial"/>
                <w:sz w:val="16"/>
                <w:szCs w:val="16"/>
                <w:lang w:val="es-ES"/>
              </w:rPr>
            </w:pPr>
            <w:r w:rsidRPr="00C210B7">
              <w:rPr>
                <w:rFonts w:ascii="Arial" w:hAnsi="Arial" w:cs="Arial"/>
                <w:sz w:val="16"/>
                <w:szCs w:val="16"/>
                <w:lang w:val="es-ES"/>
              </w:rPr>
              <w:t>7</w:t>
            </w:r>
          </w:p>
        </w:tc>
        <w:tc>
          <w:tcPr>
            <w:tcW w:w="2469" w:type="dxa"/>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C210B7" w:rsidRPr="00C210B7" w:rsidRDefault="00C210B7" w:rsidP="00C210B7">
            <w:pPr>
              <w:spacing w:after="0" w:line="240" w:lineRule="auto"/>
              <w:jc w:val="center"/>
              <w:rPr>
                <w:rFonts w:ascii="Arial" w:hAnsi="Arial" w:cs="Arial"/>
                <w:sz w:val="16"/>
                <w:szCs w:val="16"/>
                <w:lang w:val="es-ES"/>
              </w:rPr>
            </w:pPr>
            <w:r w:rsidRPr="00C210B7">
              <w:rPr>
                <w:rFonts w:ascii="Arial" w:hAnsi="Arial" w:cs="Arial"/>
                <w:sz w:val="16"/>
                <w:szCs w:val="16"/>
                <w:lang w:val="es-ES"/>
              </w:rPr>
              <w:t>22</w:t>
            </w:r>
          </w:p>
        </w:tc>
      </w:tr>
      <w:tr w:rsidR="00C210B7" w:rsidRPr="00C210B7" w:rsidTr="00C210B7">
        <w:trPr>
          <w:jc w:val="center"/>
        </w:trPr>
        <w:tc>
          <w:tcPr>
            <w:tcW w:w="1276" w:type="dxa"/>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C210B7" w:rsidRPr="00C210B7" w:rsidRDefault="00C210B7" w:rsidP="00C210B7">
            <w:pPr>
              <w:spacing w:after="0" w:line="240" w:lineRule="auto"/>
              <w:jc w:val="center"/>
              <w:rPr>
                <w:rFonts w:ascii="Arial" w:hAnsi="Arial" w:cs="Arial"/>
                <w:sz w:val="16"/>
                <w:szCs w:val="16"/>
                <w:lang w:val="es-ES"/>
              </w:rPr>
            </w:pPr>
            <w:r w:rsidRPr="00C210B7">
              <w:rPr>
                <w:rFonts w:ascii="Arial" w:hAnsi="Arial" w:cs="Arial"/>
                <w:sz w:val="16"/>
                <w:szCs w:val="16"/>
                <w:lang w:val="es-ES"/>
              </w:rPr>
              <w:lastRenderedPageBreak/>
              <w:t>8</w:t>
            </w:r>
          </w:p>
        </w:tc>
        <w:tc>
          <w:tcPr>
            <w:tcW w:w="2469" w:type="dxa"/>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C210B7" w:rsidRPr="00C210B7" w:rsidRDefault="00C210B7" w:rsidP="00C210B7">
            <w:pPr>
              <w:spacing w:after="0" w:line="240" w:lineRule="auto"/>
              <w:jc w:val="center"/>
              <w:rPr>
                <w:rFonts w:ascii="Arial" w:hAnsi="Arial" w:cs="Arial"/>
                <w:sz w:val="16"/>
                <w:szCs w:val="16"/>
                <w:lang w:val="es-ES"/>
              </w:rPr>
            </w:pPr>
            <w:r w:rsidRPr="00C210B7">
              <w:rPr>
                <w:rFonts w:ascii="Arial" w:hAnsi="Arial" w:cs="Arial"/>
                <w:sz w:val="16"/>
                <w:szCs w:val="16"/>
                <w:lang w:val="es-ES"/>
              </w:rPr>
              <w:t>24</w:t>
            </w:r>
          </w:p>
        </w:tc>
      </w:tr>
      <w:tr w:rsidR="00C210B7" w:rsidRPr="00C210B7" w:rsidTr="00C210B7">
        <w:trPr>
          <w:jc w:val="center"/>
        </w:trPr>
        <w:tc>
          <w:tcPr>
            <w:tcW w:w="1276" w:type="dxa"/>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C210B7" w:rsidRPr="00C210B7" w:rsidRDefault="00C210B7" w:rsidP="00C210B7">
            <w:pPr>
              <w:spacing w:after="0" w:line="240" w:lineRule="auto"/>
              <w:jc w:val="center"/>
              <w:rPr>
                <w:rFonts w:ascii="Arial" w:hAnsi="Arial" w:cs="Arial"/>
                <w:sz w:val="16"/>
                <w:szCs w:val="16"/>
                <w:lang w:val="es-ES"/>
              </w:rPr>
            </w:pPr>
            <w:r w:rsidRPr="00C210B7">
              <w:rPr>
                <w:rFonts w:ascii="Arial" w:hAnsi="Arial" w:cs="Arial"/>
                <w:sz w:val="16"/>
                <w:szCs w:val="16"/>
                <w:lang w:val="es-ES"/>
              </w:rPr>
              <w:t>9</w:t>
            </w:r>
          </w:p>
        </w:tc>
        <w:tc>
          <w:tcPr>
            <w:tcW w:w="2469" w:type="dxa"/>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C210B7" w:rsidRPr="00C210B7" w:rsidRDefault="00C210B7" w:rsidP="00C210B7">
            <w:pPr>
              <w:spacing w:after="0" w:line="240" w:lineRule="auto"/>
              <w:jc w:val="center"/>
              <w:rPr>
                <w:rFonts w:ascii="Arial" w:hAnsi="Arial" w:cs="Arial"/>
                <w:sz w:val="16"/>
                <w:szCs w:val="16"/>
                <w:lang w:val="es-ES"/>
              </w:rPr>
            </w:pPr>
            <w:r w:rsidRPr="00C210B7">
              <w:rPr>
                <w:rFonts w:ascii="Arial" w:hAnsi="Arial" w:cs="Arial"/>
                <w:sz w:val="16"/>
                <w:szCs w:val="16"/>
                <w:lang w:val="es-ES"/>
              </w:rPr>
              <w:t>26</w:t>
            </w:r>
          </w:p>
        </w:tc>
      </w:tr>
      <w:tr w:rsidR="00C210B7" w:rsidRPr="00C210B7" w:rsidTr="00C210B7">
        <w:trPr>
          <w:jc w:val="center"/>
        </w:trPr>
        <w:tc>
          <w:tcPr>
            <w:tcW w:w="1276" w:type="dxa"/>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C210B7" w:rsidRPr="00C210B7" w:rsidRDefault="00C210B7" w:rsidP="00C210B7">
            <w:pPr>
              <w:spacing w:after="0" w:line="240" w:lineRule="auto"/>
              <w:jc w:val="center"/>
              <w:rPr>
                <w:rFonts w:ascii="Arial" w:hAnsi="Arial" w:cs="Arial"/>
                <w:sz w:val="16"/>
                <w:szCs w:val="16"/>
                <w:lang w:val="es-ES"/>
              </w:rPr>
            </w:pPr>
            <w:r w:rsidRPr="00C210B7">
              <w:rPr>
                <w:rFonts w:ascii="Arial" w:hAnsi="Arial" w:cs="Arial"/>
                <w:sz w:val="16"/>
                <w:szCs w:val="16"/>
                <w:lang w:val="es-ES"/>
              </w:rPr>
              <w:t>0</w:t>
            </w:r>
          </w:p>
        </w:tc>
        <w:tc>
          <w:tcPr>
            <w:tcW w:w="2469" w:type="dxa"/>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C210B7" w:rsidRPr="00C210B7" w:rsidRDefault="00C210B7" w:rsidP="00C210B7">
            <w:pPr>
              <w:spacing w:after="0" w:line="240" w:lineRule="auto"/>
              <w:jc w:val="center"/>
              <w:rPr>
                <w:rFonts w:ascii="Arial" w:hAnsi="Arial" w:cs="Arial"/>
                <w:sz w:val="16"/>
                <w:szCs w:val="16"/>
                <w:lang w:val="es-ES"/>
              </w:rPr>
            </w:pPr>
            <w:r w:rsidRPr="00C210B7">
              <w:rPr>
                <w:rFonts w:ascii="Arial" w:hAnsi="Arial" w:cs="Arial"/>
                <w:sz w:val="16"/>
                <w:szCs w:val="16"/>
                <w:lang w:val="es-ES"/>
              </w:rPr>
              <w:t>28</w:t>
            </w:r>
          </w:p>
        </w:tc>
      </w:tr>
    </w:tbl>
    <w:p w:rsidR="00C210B7" w:rsidRPr="00C210B7" w:rsidRDefault="00C210B7" w:rsidP="00C210B7">
      <w:pPr>
        <w:jc w:val="both"/>
        <w:rPr>
          <w:rFonts w:ascii="Arial" w:hAnsi="Arial" w:cs="Arial"/>
          <w:sz w:val="16"/>
          <w:szCs w:val="16"/>
          <w:lang w:val="es-ES"/>
        </w:rPr>
      </w:pPr>
      <w:r w:rsidRPr="00C210B7">
        <w:rPr>
          <w:rFonts w:ascii="Arial" w:hAnsi="Arial" w:cs="Arial"/>
          <w:sz w:val="16"/>
          <w:szCs w:val="16"/>
          <w:lang w:val="es-ES"/>
        </w:rPr>
        <w:br/>
        <w:t>Lo dispuesto en los incisos anteriores, no será aplicable para aquellos sujetos obligados que en la información a reportar, presenten titulares o beneficiarios de derechos representativos de capital que sean sociedades no residentes sin establecimiento permanente en el Ecuador que coticen sus derechos en bolsas de valores del exterior, quienes deberán reportar la información semestralmente, incluso en los casos en que no existan cambios en su composición societaria, con corte al último día de los meses de junio y diciembre del respectivo ejercicio fiscal, de conformidad con el siguiente calendario: </w:t>
      </w:r>
    </w:p>
    <w:tbl>
      <w:tblPr>
        <w:tblW w:w="0" w:type="auto"/>
        <w:jc w:val="center"/>
        <w:tblInd w:w="575"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2131"/>
        <w:gridCol w:w="2186"/>
      </w:tblGrid>
      <w:tr w:rsidR="00C210B7" w:rsidRPr="00C210B7" w:rsidTr="00C210B7">
        <w:trPr>
          <w:jc w:val="center"/>
        </w:trPr>
        <w:tc>
          <w:tcPr>
            <w:tcW w:w="2131" w:type="dxa"/>
            <w:tcBorders>
              <w:top w:val="outset" w:sz="6" w:space="0" w:color="auto"/>
              <w:left w:val="outset" w:sz="6" w:space="0" w:color="auto"/>
              <w:bottom w:val="outset" w:sz="6" w:space="0" w:color="auto"/>
              <w:right w:val="outset" w:sz="6" w:space="0" w:color="auto"/>
            </w:tcBorders>
            <w:shd w:val="clear" w:color="auto" w:fill="31440F" w:themeFill="accent5" w:themeFillShade="80"/>
            <w:tcMar>
              <w:top w:w="0" w:type="dxa"/>
              <w:left w:w="0" w:type="dxa"/>
              <w:bottom w:w="0" w:type="dxa"/>
              <w:right w:w="0" w:type="dxa"/>
            </w:tcMar>
            <w:vAlign w:val="center"/>
            <w:hideMark/>
          </w:tcPr>
          <w:p w:rsidR="00C210B7" w:rsidRPr="00C210B7" w:rsidRDefault="00C210B7" w:rsidP="00C210B7">
            <w:pPr>
              <w:spacing w:after="0" w:line="240" w:lineRule="auto"/>
              <w:jc w:val="center"/>
              <w:rPr>
                <w:rFonts w:ascii="Arial" w:hAnsi="Arial" w:cs="Arial"/>
                <w:sz w:val="16"/>
                <w:szCs w:val="16"/>
                <w:lang w:val="es-ES"/>
              </w:rPr>
            </w:pPr>
            <w:r w:rsidRPr="00C210B7">
              <w:rPr>
                <w:rFonts w:ascii="Arial" w:hAnsi="Arial" w:cs="Arial"/>
                <w:b/>
                <w:bCs/>
                <w:sz w:val="16"/>
                <w:szCs w:val="16"/>
                <w:lang w:val="es-ES"/>
              </w:rPr>
              <w:t>Período Enero - Junio</w:t>
            </w:r>
          </w:p>
        </w:tc>
        <w:tc>
          <w:tcPr>
            <w:tcW w:w="2186" w:type="dxa"/>
            <w:tcBorders>
              <w:top w:val="outset" w:sz="6" w:space="0" w:color="auto"/>
              <w:left w:val="outset" w:sz="6" w:space="0" w:color="auto"/>
              <w:bottom w:val="outset" w:sz="6" w:space="0" w:color="auto"/>
              <w:right w:val="outset" w:sz="6" w:space="0" w:color="auto"/>
            </w:tcBorders>
            <w:shd w:val="clear" w:color="auto" w:fill="31440F" w:themeFill="accent5" w:themeFillShade="80"/>
            <w:tcMar>
              <w:top w:w="0" w:type="dxa"/>
              <w:left w:w="0" w:type="dxa"/>
              <w:bottom w:w="0" w:type="dxa"/>
              <w:right w:w="0" w:type="dxa"/>
            </w:tcMar>
            <w:vAlign w:val="center"/>
            <w:hideMark/>
          </w:tcPr>
          <w:p w:rsidR="00C210B7" w:rsidRPr="00C210B7" w:rsidRDefault="00C210B7" w:rsidP="00C210B7">
            <w:pPr>
              <w:spacing w:after="0" w:line="240" w:lineRule="auto"/>
              <w:jc w:val="center"/>
              <w:rPr>
                <w:rFonts w:ascii="Arial" w:hAnsi="Arial" w:cs="Arial"/>
                <w:sz w:val="16"/>
                <w:szCs w:val="16"/>
                <w:lang w:val="es-ES"/>
              </w:rPr>
            </w:pPr>
            <w:r w:rsidRPr="00C210B7">
              <w:rPr>
                <w:rFonts w:ascii="Arial" w:hAnsi="Arial" w:cs="Arial"/>
                <w:b/>
                <w:bCs/>
                <w:sz w:val="16"/>
                <w:szCs w:val="16"/>
                <w:lang w:val="es-ES"/>
              </w:rPr>
              <w:t>Período Julio -Diciembre</w:t>
            </w:r>
          </w:p>
        </w:tc>
      </w:tr>
      <w:tr w:rsidR="00C210B7" w:rsidRPr="00C210B7" w:rsidTr="00C210B7">
        <w:trPr>
          <w:jc w:val="center"/>
        </w:trPr>
        <w:tc>
          <w:tcPr>
            <w:tcW w:w="2131" w:type="dxa"/>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C210B7" w:rsidRDefault="00C210B7" w:rsidP="00C210B7">
            <w:pPr>
              <w:spacing w:after="0" w:line="240" w:lineRule="auto"/>
              <w:jc w:val="center"/>
              <w:rPr>
                <w:rFonts w:ascii="Arial" w:hAnsi="Arial" w:cs="Arial"/>
                <w:b/>
                <w:sz w:val="16"/>
                <w:szCs w:val="16"/>
                <w:lang w:val="es-ES"/>
              </w:rPr>
            </w:pPr>
          </w:p>
          <w:p w:rsidR="00C210B7" w:rsidRPr="00C210B7" w:rsidRDefault="00C210B7" w:rsidP="00C210B7">
            <w:pPr>
              <w:spacing w:after="0" w:line="240" w:lineRule="auto"/>
              <w:jc w:val="center"/>
              <w:rPr>
                <w:rFonts w:ascii="Arial" w:hAnsi="Arial" w:cs="Arial"/>
                <w:sz w:val="16"/>
                <w:szCs w:val="16"/>
                <w:lang w:val="es-ES"/>
              </w:rPr>
            </w:pPr>
            <w:r w:rsidRPr="00C210B7">
              <w:rPr>
                <w:rFonts w:ascii="Arial" w:hAnsi="Arial" w:cs="Arial"/>
                <w:b/>
                <w:sz w:val="16"/>
                <w:szCs w:val="16"/>
                <w:lang w:val="es-ES"/>
              </w:rPr>
              <w:t xml:space="preserve">Fecha máxima de entrega: </w:t>
            </w:r>
            <w:r w:rsidRPr="00C210B7">
              <w:rPr>
                <w:rFonts w:ascii="Arial" w:hAnsi="Arial" w:cs="Arial"/>
                <w:sz w:val="16"/>
                <w:szCs w:val="16"/>
                <w:lang w:val="es-ES"/>
              </w:rPr>
              <w:t>30 SEPTIEMBRE del ejercicio fiscal que corresponde la información a reportar</w:t>
            </w:r>
          </w:p>
        </w:tc>
        <w:tc>
          <w:tcPr>
            <w:tcW w:w="2186" w:type="dxa"/>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C210B7" w:rsidRPr="00C210B7" w:rsidRDefault="00C210B7" w:rsidP="00C210B7">
            <w:pPr>
              <w:spacing w:after="0" w:line="240" w:lineRule="auto"/>
              <w:jc w:val="center"/>
              <w:rPr>
                <w:rFonts w:ascii="Arial" w:hAnsi="Arial" w:cs="Arial"/>
                <w:sz w:val="16"/>
                <w:szCs w:val="16"/>
                <w:lang w:val="es-ES"/>
              </w:rPr>
            </w:pPr>
            <w:r w:rsidRPr="00C210B7">
              <w:rPr>
                <w:rFonts w:ascii="Arial" w:hAnsi="Arial" w:cs="Arial"/>
                <w:b/>
                <w:sz w:val="16"/>
                <w:szCs w:val="16"/>
                <w:lang w:val="es-ES"/>
              </w:rPr>
              <w:t>Fecha máxima de entrega:</w:t>
            </w:r>
            <w:r w:rsidRPr="00C210B7">
              <w:rPr>
                <w:rFonts w:ascii="Arial" w:hAnsi="Arial" w:cs="Arial"/>
                <w:sz w:val="16"/>
                <w:szCs w:val="16"/>
                <w:lang w:val="es-ES"/>
              </w:rPr>
              <w:t xml:space="preserve"> 31 MARZO del ejercicio fiscal siguiente al que corresponda la información a reportar</w:t>
            </w:r>
          </w:p>
        </w:tc>
      </w:tr>
    </w:tbl>
    <w:p w:rsidR="00C210B7" w:rsidRDefault="00C210B7" w:rsidP="00C210B7">
      <w:pPr>
        <w:jc w:val="both"/>
        <w:rPr>
          <w:rFonts w:ascii="Arial" w:hAnsi="Arial" w:cs="Arial"/>
          <w:sz w:val="16"/>
          <w:szCs w:val="16"/>
          <w:lang w:val="es-ES"/>
        </w:rPr>
      </w:pPr>
      <w:r w:rsidRPr="00C210B7">
        <w:rPr>
          <w:rFonts w:ascii="Arial" w:hAnsi="Arial" w:cs="Arial"/>
          <w:sz w:val="16"/>
          <w:szCs w:val="16"/>
          <w:lang w:val="es-ES"/>
        </w:rPr>
        <w:br/>
        <w:t>Cuando los sujetos obligados sean, instituciones de carácter privado sin fines de lucro, y organizaciones del sector no financiero que se encuentren bajo el régimen de la Ley Orgánica de la Economía Popular y Solidaria que no se encuentren exentas de reportar la información prevista en esta resolución, reportarán únicamente la información de conformidad con el primer inciso de este artículo.</w:t>
      </w:r>
      <w:r w:rsidRPr="00C210B7">
        <w:rPr>
          <w:rFonts w:ascii="Arial" w:hAnsi="Arial" w:cs="Arial"/>
          <w:sz w:val="16"/>
          <w:szCs w:val="16"/>
          <w:lang w:val="es-ES"/>
        </w:rPr>
        <w:br/>
      </w:r>
      <w:r w:rsidRPr="00C210B7">
        <w:rPr>
          <w:rFonts w:ascii="Arial" w:hAnsi="Arial" w:cs="Arial"/>
          <w:sz w:val="16"/>
          <w:szCs w:val="16"/>
          <w:lang w:val="es-ES"/>
        </w:rPr>
        <w:br/>
        <w:t>Cuando una fecha de vencimiento coincida con días de descanso obligatorio o feriados, aquella se trasladará al siguiente día hábil. Los feriados locales se deberán considerar con respecto a cada región de acuerdo al domicilio tributario del sujeto pasivo obligado.</w:t>
      </w:r>
      <w:r w:rsidRPr="00C210B7">
        <w:rPr>
          <w:rFonts w:ascii="Arial" w:hAnsi="Arial" w:cs="Arial"/>
          <w:sz w:val="16"/>
          <w:szCs w:val="16"/>
          <w:lang w:val="es-ES"/>
        </w:rPr>
        <w:br/>
      </w:r>
      <w:r w:rsidRPr="00C210B7">
        <w:rPr>
          <w:rFonts w:ascii="Arial" w:hAnsi="Arial" w:cs="Arial"/>
          <w:sz w:val="16"/>
          <w:szCs w:val="16"/>
          <w:lang w:val="es-ES"/>
        </w:rPr>
        <w:br/>
        <w:t>Cuando el sujeto obligado, deba presentar su declaración anticipada de impuesto a la renta, por efectos de terminación de actividades, de escisión o fusión de sociedades antes de la finalización del ejercicio impositivo, deberá presentar este anexo al menos tres días hábiles antes de su declaración de impuesto a la renta anticipada.</w:t>
      </w:r>
      <w:r w:rsidRPr="00C210B7">
        <w:rPr>
          <w:rFonts w:ascii="Arial" w:hAnsi="Arial" w:cs="Arial"/>
          <w:sz w:val="16"/>
          <w:szCs w:val="16"/>
          <w:lang w:val="es-ES"/>
        </w:rPr>
        <w:br/>
      </w:r>
      <w:r w:rsidRPr="00C210B7">
        <w:rPr>
          <w:rFonts w:ascii="Arial" w:hAnsi="Arial" w:cs="Arial"/>
          <w:sz w:val="16"/>
          <w:szCs w:val="16"/>
          <w:lang w:val="es-ES"/>
        </w:rPr>
        <w:br/>
      </w:r>
      <w:r w:rsidRPr="00C210B7">
        <w:rPr>
          <w:rFonts w:ascii="Arial" w:hAnsi="Arial" w:cs="Arial"/>
          <w:b/>
          <w:bCs/>
          <w:sz w:val="16"/>
          <w:szCs w:val="16"/>
          <w:lang w:val="es-ES"/>
        </w:rPr>
        <w:t>Artículo 12. Falta de presentación o presentación incompleta.- </w:t>
      </w:r>
      <w:r w:rsidRPr="00C210B7">
        <w:rPr>
          <w:rFonts w:ascii="Arial" w:hAnsi="Arial" w:cs="Arial"/>
          <w:sz w:val="16"/>
          <w:szCs w:val="16"/>
          <w:lang w:val="es-ES"/>
        </w:rPr>
        <w:t>Sin perjuicio de las sanciones pertinentes conforme a la normativa tributaria vigente y la obligación de informar la composición societaria, la tarifa de impuesto a la renta aplicable para el sujeto obligado que debiendo reportar la información, de conformidad con las disposiciones de esta resolución, no lo haga, o lo haga de forma incompleta, se sujetará a las siguientes disposiciones:</w:t>
      </w:r>
    </w:p>
    <w:p w:rsidR="00C210B7" w:rsidRDefault="00C210B7" w:rsidP="00C210B7">
      <w:pPr>
        <w:jc w:val="both"/>
        <w:rPr>
          <w:rFonts w:ascii="Arial" w:hAnsi="Arial" w:cs="Arial"/>
          <w:sz w:val="16"/>
          <w:szCs w:val="16"/>
          <w:lang w:val="es-ES"/>
        </w:rPr>
      </w:pPr>
      <w:r w:rsidRPr="00C210B7">
        <w:rPr>
          <w:rFonts w:ascii="Arial" w:hAnsi="Arial" w:cs="Arial"/>
          <w:sz w:val="16"/>
          <w:szCs w:val="16"/>
          <w:lang w:val="es-ES"/>
        </w:rPr>
        <w:t>a) Cuando el sujeto obligado no presente el anexo, previo a su declaración de impuesto a la renta del ejercicio fiscal al que corresponda y hasta la fecha de vencimiento de dicha declaración, sin perjuicio de las sanciones respectivas, se considerará como no cumplida su obligación y por lo tanto deberá aplicar la tarifa del 25% a la totalidad de su base imponible para efectos del cálculo del impuesto a la renta del ejercicio fiscal al que corresponda dicha información.</w:t>
      </w:r>
      <w:r w:rsidRPr="00C210B7">
        <w:rPr>
          <w:rFonts w:ascii="Arial" w:hAnsi="Arial" w:cs="Arial"/>
          <w:sz w:val="16"/>
          <w:szCs w:val="16"/>
          <w:lang w:val="es-ES"/>
        </w:rPr>
        <w:br/>
      </w:r>
      <w:r w:rsidRPr="00C210B7">
        <w:rPr>
          <w:rFonts w:ascii="Arial" w:hAnsi="Arial" w:cs="Arial"/>
          <w:sz w:val="16"/>
          <w:szCs w:val="16"/>
          <w:lang w:val="es-ES"/>
        </w:rPr>
        <w:br/>
        <w:t>b) Cuando el sujeto obligado reporte la información de manera incompleta, aplicará la tarifa del 25% de impuesto a la renta, a la parte de la base imponible que corresponda a la participación no reportada. Sobre el resto aplicará la tarifa correspondiente de acuerdo a las normas generales. Asimismo, aplicará la tarifa del 25%) de impuesto a la renta, a la totalidad de la base imponible, en los casos en que el sujeto obligado, no reporte el 50%&gt; o más de su composición societaria.</w:t>
      </w:r>
    </w:p>
    <w:p w:rsidR="00C210B7" w:rsidRDefault="00C210B7" w:rsidP="00C210B7">
      <w:pPr>
        <w:jc w:val="both"/>
        <w:rPr>
          <w:rFonts w:ascii="Arial" w:hAnsi="Arial" w:cs="Arial"/>
          <w:sz w:val="16"/>
          <w:szCs w:val="16"/>
          <w:lang w:val="es-ES"/>
        </w:rPr>
      </w:pPr>
      <w:r w:rsidRPr="00C210B7">
        <w:rPr>
          <w:rFonts w:ascii="Arial" w:hAnsi="Arial" w:cs="Arial"/>
          <w:sz w:val="16"/>
          <w:szCs w:val="16"/>
          <w:lang w:val="es-ES"/>
        </w:rPr>
        <w:lastRenderedPageBreak/>
        <w:t>Se entenderá que la información de la composición societaria se ha presentado de forma incompleta, cuando la información reportada no permita a la Administración Tributaria, identificar a los titulares o beneficiarios de derechos representativos de capital, su residencia y su participación en la composición societaria, de conformidad con los artículos 4 y 7 de esta Resolución.</w:t>
      </w:r>
    </w:p>
    <w:p w:rsidR="00C210B7" w:rsidRDefault="00C210B7" w:rsidP="00C210B7">
      <w:pPr>
        <w:jc w:val="both"/>
        <w:rPr>
          <w:rFonts w:ascii="Arial" w:hAnsi="Arial" w:cs="Arial"/>
          <w:sz w:val="16"/>
          <w:szCs w:val="16"/>
          <w:lang w:val="es-ES"/>
        </w:rPr>
      </w:pPr>
      <w:r w:rsidRPr="00C210B7">
        <w:rPr>
          <w:rFonts w:ascii="Arial" w:hAnsi="Arial" w:cs="Arial"/>
          <w:b/>
          <w:bCs/>
          <w:sz w:val="16"/>
          <w:szCs w:val="16"/>
          <w:lang w:val="es-ES"/>
        </w:rPr>
        <w:t>Artículo 13. Sanciones.- </w:t>
      </w:r>
      <w:r w:rsidRPr="00C210B7">
        <w:rPr>
          <w:rFonts w:ascii="Arial" w:hAnsi="Arial" w:cs="Arial"/>
          <w:sz w:val="16"/>
          <w:szCs w:val="16"/>
          <w:lang w:val="es-ES"/>
        </w:rPr>
        <w:t>La presentación tardía, la falta de presentación o la presentación inexacta de la información, serán sancionadas conforme a la normativa vigente, y no exime al sujeto obligado de la presentación del Anexo, así como del pago de la tarifa del 25%&gt; de impuesto a la renta, conforme lo señalado en el artículo anterior.</w:t>
      </w:r>
    </w:p>
    <w:p w:rsidR="00C210B7" w:rsidRDefault="00C210B7" w:rsidP="00C210B7">
      <w:pPr>
        <w:jc w:val="both"/>
        <w:rPr>
          <w:rFonts w:ascii="Arial" w:hAnsi="Arial" w:cs="Arial"/>
          <w:sz w:val="16"/>
          <w:szCs w:val="16"/>
          <w:lang w:val="es-ES"/>
        </w:rPr>
      </w:pPr>
      <w:r w:rsidRPr="00C210B7">
        <w:rPr>
          <w:rFonts w:ascii="Arial" w:hAnsi="Arial" w:cs="Arial"/>
          <w:b/>
          <w:bCs/>
          <w:sz w:val="16"/>
          <w:szCs w:val="16"/>
          <w:lang w:val="es-ES"/>
        </w:rPr>
        <w:t>Disposición General.- </w:t>
      </w:r>
      <w:r w:rsidRPr="00C210B7">
        <w:rPr>
          <w:rFonts w:ascii="Arial" w:hAnsi="Arial" w:cs="Arial"/>
          <w:sz w:val="16"/>
          <w:szCs w:val="16"/>
          <w:lang w:val="es-ES"/>
        </w:rPr>
        <w:t>El Servicio de Rentas Internas en ejercicio de sus facultades legalmente establecidas verificará la correcta aplicación de la tarifa de impuesto a la renta para aquellos casos en que el sujeto obligado no haya cumplido con su obligación o lo haya hecho de manera incompleta.</w:t>
      </w:r>
    </w:p>
    <w:p w:rsidR="00C210B7" w:rsidRDefault="00C210B7" w:rsidP="00C210B7">
      <w:pPr>
        <w:jc w:val="both"/>
        <w:rPr>
          <w:rFonts w:ascii="Arial" w:hAnsi="Arial" w:cs="Arial"/>
          <w:sz w:val="16"/>
          <w:szCs w:val="16"/>
          <w:lang w:val="es-ES"/>
        </w:rPr>
      </w:pPr>
      <w:r w:rsidRPr="00C210B7">
        <w:rPr>
          <w:rFonts w:ascii="Arial" w:hAnsi="Arial" w:cs="Arial"/>
          <w:sz w:val="16"/>
          <w:szCs w:val="16"/>
          <w:lang w:val="es-ES"/>
        </w:rPr>
        <w:t>El Servicio de Rentas Internas y la Superintendencia de Compañías, en uso de sus facultades, podrán requerir información complementaria sobre la composición societaria de los sujetos obligados a presentar este anexo.</w:t>
      </w:r>
    </w:p>
    <w:p w:rsidR="00C210B7" w:rsidRDefault="00C210B7" w:rsidP="00C210B7">
      <w:pPr>
        <w:jc w:val="both"/>
        <w:rPr>
          <w:rFonts w:ascii="Arial" w:hAnsi="Arial" w:cs="Arial"/>
          <w:sz w:val="16"/>
          <w:szCs w:val="16"/>
          <w:lang w:val="es-ES"/>
        </w:rPr>
      </w:pPr>
      <w:r w:rsidRPr="00C210B7">
        <w:rPr>
          <w:rFonts w:ascii="Arial" w:hAnsi="Arial" w:cs="Arial"/>
          <w:b/>
          <w:bCs/>
          <w:sz w:val="16"/>
          <w:szCs w:val="16"/>
          <w:lang w:val="es-ES"/>
        </w:rPr>
        <w:lastRenderedPageBreak/>
        <w:t>Disposición Transitoria Primera.- </w:t>
      </w:r>
      <w:r w:rsidRPr="00C210B7">
        <w:rPr>
          <w:rFonts w:ascii="Arial" w:hAnsi="Arial" w:cs="Arial"/>
          <w:sz w:val="16"/>
          <w:szCs w:val="16"/>
          <w:lang w:val="es-ES"/>
        </w:rPr>
        <w:t>Los sujetos pasivos que tengan la obligación de presentar el "Anexo de Accionistas, Partícipes, Socios, Miembros de Directorio y Administradores", que se encuentren omisos o requieran efectuar modificaciones a sus anexos anteriormente presentados, deberán reportar la información según las especificaciones señaladas en la presente resolución.</w:t>
      </w:r>
    </w:p>
    <w:p w:rsidR="00C210B7" w:rsidRDefault="00C210B7" w:rsidP="00C210B7">
      <w:pPr>
        <w:jc w:val="both"/>
        <w:rPr>
          <w:rFonts w:ascii="Arial" w:hAnsi="Arial" w:cs="Arial"/>
          <w:sz w:val="16"/>
          <w:szCs w:val="16"/>
          <w:lang w:val="es-ES"/>
        </w:rPr>
      </w:pPr>
      <w:r w:rsidRPr="00C210B7">
        <w:rPr>
          <w:rFonts w:ascii="Arial" w:hAnsi="Arial" w:cs="Arial"/>
          <w:b/>
          <w:bCs/>
          <w:sz w:val="16"/>
          <w:szCs w:val="16"/>
          <w:lang w:val="es-ES"/>
        </w:rPr>
        <w:t>Disposición Transitoria Segunda.- </w:t>
      </w:r>
      <w:r w:rsidRPr="00C210B7">
        <w:rPr>
          <w:rFonts w:ascii="Arial" w:hAnsi="Arial" w:cs="Arial"/>
          <w:sz w:val="16"/>
          <w:szCs w:val="16"/>
          <w:lang w:val="es-ES"/>
        </w:rPr>
        <w:t>Por única vez los sujetos pasivos obligados a reportar la información correspondiente al ejercicio fiscal 2015, deberán presentar el anexo previsto en esta Resolución, en el mes de abril de 2016, previo a su declaración de impuesto a la renta de ese ejercicio fiscal y hasta la fecha de vencimiento de dicha declaración.</w:t>
      </w:r>
    </w:p>
    <w:p w:rsidR="00F20655" w:rsidRDefault="00C210B7" w:rsidP="00C210B7">
      <w:pPr>
        <w:jc w:val="both"/>
        <w:rPr>
          <w:rFonts w:ascii="Arial" w:hAnsi="Arial" w:cs="Arial"/>
          <w:noProof/>
          <w:sz w:val="16"/>
          <w:szCs w:val="16"/>
          <w:lang w:val="es-ES" w:eastAsia="es-ES"/>
        </w:rPr>
      </w:pPr>
      <w:r w:rsidRPr="00C210B7">
        <w:rPr>
          <w:rFonts w:ascii="Arial" w:hAnsi="Arial" w:cs="Arial"/>
          <w:b/>
          <w:bCs/>
          <w:sz w:val="16"/>
          <w:szCs w:val="16"/>
          <w:lang w:val="es-ES"/>
        </w:rPr>
        <w:t>Disposición Derogatoria.- </w:t>
      </w:r>
      <w:r w:rsidRPr="00C210B7">
        <w:rPr>
          <w:rFonts w:ascii="Arial" w:hAnsi="Arial" w:cs="Arial"/>
          <w:sz w:val="16"/>
          <w:szCs w:val="16"/>
          <w:lang w:val="es-ES"/>
        </w:rPr>
        <w:t>Se derogan las resoluciones NAC-DGERCGC12-00777, publicada en el Registro Oficial No. 855 del 20 de diciembre del 2012, y NAC-DGRERCGC13-00059, publicada en el Tercer Suplemento del Registro Oficial 892 del 15 de febrero de 2013.</w:t>
      </w:r>
      <w:r w:rsidRPr="00C210B7">
        <w:rPr>
          <w:rFonts w:ascii="Arial" w:hAnsi="Arial" w:cs="Arial"/>
          <w:sz w:val="16"/>
          <w:szCs w:val="16"/>
          <w:lang w:val="es-ES"/>
        </w:rPr>
        <w:br/>
      </w:r>
      <w:r w:rsidRPr="00C210B7">
        <w:rPr>
          <w:rFonts w:ascii="Arial" w:hAnsi="Arial" w:cs="Arial"/>
          <w:sz w:val="16"/>
          <w:szCs w:val="16"/>
          <w:lang w:val="es-ES"/>
        </w:rPr>
        <w:br/>
      </w:r>
      <w:r w:rsidRPr="00C210B7">
        <w:rPr>
          <w:rFonts w:ascii="Arial" w:hAnsi="Arial" w:cs="Arial"/>
          <w:b/>
          <w:bCs/>
          <w:sz w:val="16"/>
          <w:szCs w:val="16"/>
          <w:lang w:val="es-ES"/>
        </w:rPr>
        <w:t>Disposición Final.- </w:t>
      </w:r>
      <w:r w:rsidRPr="00C210B7">
        <w:rPr>
          <w:rFonts w:ascii="Arial" w:hAnsi="Arial" w:cs="Arial"/>
          <w:sz w:val="16"/>
          <w:szCs w:val="16"/>
          <w:lang w:val="es-ES"/>
        </w:rPr>
        <w:t>La presente resolución entrará en vigencia a partir del 01 de febrero de 2016.</w:t>
      </w:r>
      <w:r w:rsidR="00F20655" w:rsidRPr="00F20655">
        <w:rPr>
          <w:rFonts w:ascii="Arial" w:hAnsi="Arial" w:cs="Arial"/>
          <w:noProof/>
          <w:sz w:val="16"/>
          <w:szCs w:val="16"/>
          <w:lang w:val="es-ES" w:eastAsia="es-ES"/>
        </w:rPr>
        <w:t xml:space="preserve"> </w:t>
      </w:r>
    </w:p>
    <w:p w:rsidR="007870A9" w:rsidRPr="00165C68" w:rsidRDefault="00C210B7" w:rsidP="00FE0A40">
      <w:pPr>
        <w:ind w:left="142"/>
        <w:rPr>
          <w:rFonts w:ascii="Arial" w:hAnsi="Arial" w:cs="Arial"/>
          <w:sz w:val="16"/>
          <w:szCs w:val="16"/>
          <w:lang w:val="es-ES"/>
        </w:rPr>
      </w:pPr>
      <w:r w:rsidRPr="00165C68">
        <w:rPr>
          <w:rFonts w:ascii="Arial" w:hAnsi="Arial" w:cs="Arial"/>
          <w:noProof/>
          <w:sz w:val="16"/>
          <w:szCs w:val="16"/>
          <w:lang w:val="es-EC" w:eastAsia="es-EC"/>
        </w:rPr>
        <w:drawing>
          <wp:anchor distT="0" distB="0" distL="114300" distR="114300" simplePos="0" relativeHeight="251687936" behindDoc="1" locked="0" layoutInCell="1" allowOverlap="1" wp14:anchorId="624FDF2F" wp14:editId="2D31F95F">
            <wp:simplePos x="0" y="0"/>
            <wp:positionH relativeFrom="column">
              <wp:posOffset>106341</wp:posOffset>
            </wp:positionH>
            <wp:positionV relativeFrom="paragraph">
              <wp:posOffset>-5686</wp:posOffset>
            </wp:positionV>
            <wp:extent cx="2905760" cy="2051685"/>
            <wp:effectExtent l="0" t="0" r="8890" b="5715"/>
            <wp:wrapNone/>
            <wp:docPr id="7" name="Imagen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puestos-o-tax-nueva-york-L-SYHtiB[1].jp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905760" cy="2051685"/>
                    </a:xfrm>
                    <a:prstGeom prst="rect">
                      <a:avLst/>
                    </a:prstGeom>
                  </pic:spPr>
                </pic:pic>
              </a:graphicData>
            </a:graphic>
            <wp14:sizeRelH relativeFrom="page">
              <wp14:pctWidth>0</wp14:pctWidth>
            </wp14:sizeRelH>
            <wp14:sizeRelV relativeFrom="page">
              <wp14:pctHeight>0</wp14:pctHeight>
            </wp14:sizeRelV>
          </wp:anchor>
        </w:drawing>
      </w:r>
    </w:p>
    <w:p w:rsidR="007870A9" w:rsidRPr="00FE0A40" w:rsidRDefault="007870A9">
      <w:pPr>
        <w:pStyle w:val="Ttulo1"/>
        <w:rPr>
          <w:lang w:val="es-ES"/>
        </w:rPr>
        <w:sectPr w:rsidR="007870A9" w:rsidRPr="00FE0A40" w:rsidSect="006455FD">
          <w:type w:val="continuous"/>
          <w:pgSz w:w="12240" w:h="15840"/>
          <w:pgMar w:top="936" w:right="936" w:bottom="936" w:left="936" w:header="720" w:footer="720" w:gutter="0"/>
          <w:cols w:num="2" w:space="616"/>
          <w:docGrid w:linePitch="360"/>
        </w:sectPr>
      </w:pPr>
    </w:p>
    <w:p w:rsidR="004B343A" w:rsidRPr="004B343A" w:rsidRDefault="004B343A">
      <w:pPr>
        <w:pStyle w:val="Cita"/>
        <w:jc w:val="left"/>
        <w:rPr>
          <w:rFonts w:asciiTheme="minorHAnsi" w:hAnsiTheme="minorHAnsi"/>
          <w:i w:val="0"/>
          <w:color w:val="2F5897" w:themeColor="text2"/>
          <w:sz w:val="22"/>
          <w:lang w:val="es-ES"/>
        </w:rPr>
      </w:pPr>
    </w:p>
    <w:p w:rsidR="004B343A" w:rsidRPr="004B343A" w:rsidRDefault="004B343A">
      <w:pPr>
        <w:pStyle w:val="Cita"/>
        <w:jc w:val="left"/>
        <w:rPr>
          <w:rFonts w:asciiTheme="minorHAnsi" w:hAnsiTheme="minorHAnsi"/>
          <w:i w:val="0"/>
          <w:color w:val="2F5897" w:themeColor="text2"/>
          <w:sz w:val="22"/>
          <w:lang w:val="es-ES"/>
        </w:rPr>
      </w:pPr>
    </w:p>
    <w:p w:rsidR="004B343A" w:rsidRPr="004B343A" w:rsidRDefault="004B343A">
      <w:pPr>
        <w:pStyle w:val="Cita"/>
        <w:jc w:val="left"/>
        <w:rPr>
          <w:rFonts w:asciiTheme="minorHAnsi" w:hAnsiTheme="minorHAnsi"/>
          <w:i w:val="0"/>
          <w:color w:val="2F5897" w:themeColor="text2"/>
          <w:sz w:val="22"/>
          <w:lang w:val="es-ES"/>
        </w:rPr>
      </w:pPr>
    </w:p>
    <w:p w:rsidR="007870A9" w:rsidRDefault="00C210B7">
      <w:pPr>
        <w:pStyle w:val="Cita"/>
        <w:jc w:val="left"/>
        <w:rPr>
          <w:rFonts w:asciiTheme="minorHAnsi" w:hAnsiTheme="minorHAnsi"/>
          <w:i w:val="0"/>
          <w:color w:val="2F5897" w:themeColor="text2"/>
          <w:sz w:val="22"/>
        </w:rPr>
      </w:pPr>
      <w:r w:rsidRPr="00C32BBF">
        <w:rPr>
          <w:noProof/>
          <w:lang w:val="es-EC" w:eastAsia="es-EC" w:bidi="ar-SA"/>
        </w:rPr>
        <mc:AlternateContent>
          <mc:Choice Requires="wps">
            <w:drawing>
              <wp:anchor distT="0" distB="0" distL="114300" distR="114300" simplePos="0" relativeHeight="251682816" behindDoc="0" locked="0" layoutInCell="1" allowOverlap="1" wp14:anchorId="21DE6032" wp14:editId="6B1D1CBA">
                <wp:simplePos x="0" y="0"/>
                <wp:positionH relativeFrom="column">
                  <wp:posOffset>1871980</wp:posOffset>
                </wp:positionH>
                <wp:positionV relativeFrom="paragraph">
                  <wp:posOffset>2301713</wp:posOffset>
                </wp:positionV>
                <wp:extent cx="3168015" cy="839470"/>
                <wp:effectExtent l="0" t="0" r="0" b="0"/>
                <wp:wrapNone/>
                <wp:docPr id="14"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68015" cy="8394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32BBF" w:rsidRPr="00C32BBF" w:rsidRDefault="00C32BBF" w:rsidP="00C32BBF">
                            <w:pPr>
                              <w:pStyle w:val="Subttulo"/>
                              <w:spacing w:after="0" w:line="240" w:lineRule="auto"/>
                              <w:jc w:val="center"/>
                              <w:rPr>
                                <w:rFonts w:ascii="Century751 SeBd BT" w:hAnsi="Century751 SeBd BT"/>
                                <w:color w:val="7F7F7F"/>
                                <w:sz w:val="36"/>
                                <w:lang w:val="es-ES"/>
                              </w:rPr>
                            </w:pPr>
                            <w:r w:rsidRPr="00C32BBF">
                              <w:rPr>
                                <w:rFonts w:ascii="Century751 SeBd BT" w:hAnsi="Century751 SeBd BT"/>
                                <w:color w:val="7F7F7F"/>
                                <w:sz w:val="36"/>
                                <w:lang w:val="es-ES"/>
                              </w:rPr>
                              <w:t>ASTRILEG CÍA. LTDA.</w:t>
                            </w:r>
                          </w:p>
                          <w:p w:rsidR="00C32BBF" w:rsidRPr="00C32BBF" w:rsidRDefault="00C32BBF" w:rsidP="00C32BBF">
                            <w:pPr>
                              <w:pStyle w:val="Subttulo"/>
                              <w:spacing w:after="0" w:line="240" w:lineRule="auto"/>
                              <w:jc w:val="center"/>
                              <w:rPr>
                                <w:rFonts w:ascii="Century751 SeBd BT" w:hAnsi="Century751 SeBd BT"/>
                                <w:color w:val="7F7F7F"/>
                                <w:lang w:val="es-ES"/>
                              </w:rPr>
                            </w:pPr>
                            <w:r w:rsidRPr="00C32BBF">
                              <w:rPr>
                                <w:rFonts w:ascii="Century751 SeBd BT" w:hAnsi="Century751 SeBd BT"/>
                                <w:color w:val="7F7F7F"/>
                                <w:lang w:val="es-ES"/>
                              </w:rPr>
                              <w:t>Contadores Públicos Auditores</w:t>
                            </w:r>
                          </w:p>
                          <w:p w:rsidR="00C32BBF" w:rsidRPr="00C32BBF" w:rsidRDefault="00C32BBF" w:rsidP="00C32BBF">
                            <w:pPr>
                              <w:pStyle w:val="Subttulo"/>
                              <w:spacing w:after="0" w:line="240" w:lineRule="auto"/>
                              <w:jc w:val="center"/>
                              <w:rPr>
                                <w:rFonts w:ascii="Century751 SeBd BT" w:hAnsi="Century751 SeBd BT"/>
                                <w:color w:val="7F7F7F"/>
                                <w:sz w:val="8"/>
                                <w:lang w:val="es-ES"/>
                              </w:rPr>
                            </w:pPr>
                          </w:p>
                          <w:p w:rsidR="00C32BBF" w:rsidRPr="00954F2C" w:rsidRDefault="00C32BBF" w:rsidP="00C32BBF">
                            <w:pPr>
                              <w:pStyle w:val="Subttulo"/>
                              <w:spacing w:after="0" w:line="240" w:lineRule="auto"/>
                              <w:jc w:val="center"/>
                              <w:rPr>
                                <w:rFonts w:ascii="Century751 SeBd BT" w:hAnsi="Century751 SeBd BT"/>
                                <w:color w:val="7F7F7F"/>
                                <w:sz w:val="18"/>
                                <w:lang w:val="es-ES"/>
                              </w:rPr>
                            </w:pPr>
                            <w:r w:rsidRPr="00954F2C">
                              <w:rPr>
                                <w:rFonts w:ascii="Century751 SeBd BT" w:hAnsi="Century751 SeBd BT"/>
                                <w:color w:val="7F7F7F"/>
                                <w:sz w:val="18"/>
                                <w:lang w:val="es-ES"/>
                              </w:rPr>
                              <w:t xml:space="preserve">Firma Miembro de </w:t>
                            </w:r>
                          </w:p>
                          <w:p w:rsidR="00C32BBF" w:rsidRPr="002C26F8" w:rsidRDefault="00C32BBF" w:rsidP="00C32BBF">
                            <w:pPr>
                              <w:spacing w:after="0" w:line="240" w:lineRule="auto"/>
                              <w:rPr>
                                <w:lang w:val="es-EC"/>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4" o:spid="_x0000_s1028" type="#_x0000_t202" style="position:absolute;left:0;text-align:left;margin-left:147.4pt;margin-top:181.25pt;width:249.45pt;height:66.1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" filled="f" stroked="f">
                <v:textbox>
                  <w:txbxContent>
                    <w:p w:rsidR="00C32BBF" w:rsidRPr="00C32BBF" w:rsidRDefault="00C32BBF" w:rsidP="00C32BBF">
                      <w:pPr>
                        <w:pStyle w:val="Subtitle"/>
                        <w:spacing w:after="0" w:line="240" w:lineRule="auto"/>
                        <w:jc w:val="center"/>
                        <w:rPr>
                          <w:rFonts w:ascii="Century751 SeBd BT" w:hAnsi="Century751 SeBd BT"/>
                          <w:color w:val="7F7F7F"/>
                          <w:sz w:val="36"/>
                          <w:lang w:val="es-ES"/>
                        </w:rPr>
                      </w:pPr>
                      <w:proofErr w:type="spellStart"/>
                      <w:r w:rsidRPr="00C32BBF">
                        <w:rPr>
                          <w:rFonts w:ascii="Century751 SeBd BT" w:hAnsi="Century751 SeBd BT"/>
                          <w:color w:val="7F7F7F"/>
                          <w:sz w:val="36"/>
                          <w:lang w:val="es-ES"/>
                        </w:rPr>
                        <w:t>ASTRILEG</w:t>
                      </w:r>
                      <w:proofErr w:type="spellEnd"/>
                      <w:r w:rsidRPr="00C32BBF">
                        <w:rPr>
                          <w:rFonts w:ascii="Century751 SeBd BT" w:hAnsi="Century751 SeBd BT"/>
                          <w:color w:val="7F7F7F"/>
                          <w:sz w:val="36"/>
                          <w:lang w:val="es-ES"/>
                        </w:rPr>
                        <w:t xml:space="preserve"> CÍA. LTDA.</w:t>
                      </w:r>
                    </w:p>
                    <w:p w:rsidR="00C32BBF" w:rsidRPr="00C32BBF" w:rsidRDefault="00C32BBF" w:rsidP="00C32BBF">
                      <w:pPr>
                        <w:pStyle w:val="Subtitle"/>
                        <w:spacing w:after="0" w:line="240" w:lineRule="auto"/>
                        <w:jc w:val="center"/>
                        <w:rPr>
                          <w:rFonts w:ascii="Century751 SeBd BT" w:hAnsi="Century751 SeBd BT"/>
                          <w:color w:val="7F7F7F"/>
                          <w:lang w:val="es-ES"/>
                        </w:rPr>
                      </w:pPr>
                      <w:r w:rsidRPr="00C32BBF">
                        <w:rPr>
                          <w:rFonts w:ascii="Century751 SeBd BT" w:hAnsi="Century751 SeBd BT"/>
                          <w:color w:val="7F7F7F"/>
                          <w:lang w:val="es-ES"/>
                        </w:rPr>
                        <w:t>Contadores Públicos Auditores</w:t>
                      </w:r>
                    </w:p>
                    <w:p w:rsidR="00C32BBF" w:rsidRPr="00C32BBF" w:rsidRDefault="00C32BBF" w:rsidP="00C32BBF">
                      <w:pPr>
                        <w:pStyle w:val="Subtitle"/>
                        <w:spacing w:after="0" w:line="240" w:lineRule="auto"/>
                        <w:jc w:val="center"/>
                        <w:rPr>
                          <w:rFonts w:ascii="Century751 SeBd BT" w:hAnsi="Century751 SeBd BT"/>
                          <w:color w:val="7F7F7F"/>
                          <w:sz w:val="8"/>
                          <w:lang w:val="es-ES"/>
                        </w:rPr>
                      </w:pPr>
                    </w:p>
                    <w:p w:rsidR="00C32BBF" w:rsidRPr="00954F2C" w:rsidRDefault="00C32BBF" w:rsidP="00C32BBF">
                      <w:pPr>
                        <w:pStyle w:val="Subtitle"/>
                        <w:spacing w:after="0" w:line="240" w:lineRule="auto"/>
                        <w:jc w:val="center"/>
                        <w:rPr>
                          <w:rFonts w:ascii="Century751 SeBd BT" w:hAnsi="Century751 SeBd BT"/>
                          <w:color w:val="7F7F7F"/>
                          <w:sz w:val="18"/>
                          <w:lang w:val="es-ES"/>
                        </w:rPr>
                      </w:pPr>
                      <w:r w:rsidRPr="00954F2C">
                        <w:rPr>
                          <w:rFonts w:ascii="Century751 SeBd BT" w:hAnsi="Century751 SeBd BT"/>
                          <w:color w:val="7F7F7F"/>
                          <w:sz w:val="18"/>
                          <w:lang w:val="es-ES"/>
                        </w:rPr>
                        <w:t xml:space="preserve">Firma Miembro de </w:t>
                      </w:r>
                    </w:p>
                    <w:p w:rsidR="00C32BBF" w:rsidRPr="002C26F8" w:rsidRDefault="00C32BBF" w:rsidP="00C32BBF">
                      <w:pPr>
                        <w:spacing w:after="0" w:line="240" w:lineRule="auto"/>
                        <w:rPr>
                          <w:lang w:val="es-EC"/>
                        </w:rPr>
                      </w:pPr>
                    </w:p>
                  </w:txbxContent>
                </v:textbox>
              </v:shape>
            </w:pict>
          </mc:Fallback>
        </mc:AlternateContent>
      </w:r>
      <w:r w:rsidRPr="00C32BBF">
        <w:rPr>
          <w:noProof/>
          <w:u w:val="single"/>
          <w:lang w:val="es-EC" w:eastAsia="es-EC" w:bidi="ar-SA"/>
        </w:rPr>
        <w:drawing>
          <wp:anchor distT="0" distB="0" distL="114300" distR="114300" simplePos="0" relativeHeight="251680768" behindDoc="1" locked="0" layoutInCell="1" allowOverlap="1" wp14:anchorId="05710D6C" wp14:editId="5D1CA4C6">
            <wp:simplePos x="0" y="0"/>
            <wp:positionH relativeFrom="column">
              <wp:posOffset>2542540</wp:posOffset>
            </wp:positionH>
            <wp:positionV relativeFrom="paragraph">
              <wp:posOffset>3199130</wp:posOffset>
            </wp:positionV>
            <wp:extent cx="1499235" cy="452755"/>
            <wp:effectExtent l="0" t="0" r="5715" b="4445"/>
            <wp:wrapTight wrapText="bothSides">
              <wp:wrapPolygon edited="0">
                <wp:start x="1921" y="0"/>
                <wp:lineTo x="0" y="4544"/>
                <wp:lineTo x="0" y="13633"/>
                <wp:lineTo x="1098" y="20903"/>
                <wp:lineTo x="1372" y="20903"/>
                <wp:lineTo x="21408" y="20903"/>
                <wp:lineTo x="21408" y="2727"/>
                <wp:lineTo x="18938" y="0"/>
                <wp:lineTo x="1921" y="0"/>
              </wp:wrapPolygon>
            </wp:wrapTight>
            <wp:docPr id="13" name="Picture 13" descr="Principal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rincipal Logo"/>
                    <pic:cNvPicPr>
                      <a:picLocks noChangeAspect="1" noChangeArrowheads="1"/>
                    </pic:cNvPicPr>
                  </pic:nvPicPr>
                  <pic:blipFill>
                    <a:blip r:embed="rId12" r:link="rId13" cstate="print">
                      <a:extLst>
                        <a:ext uri="{28A0092B-C50C-407E-A947-70E740481C1C}">
                          <a14:useLocalDpi xmlns:a14="http://schemas.microsoft.com/office/drawing/2010/main" val="0"/>
                        </a:ext>
                      </a:extLst>
                    </a:blip>
                    <a:srcRect/>
                    <a:stretch>
                      <a:fillRect/>
                    </a:stretch>
                  </pic:blipFill>
                  <pic:spPr bwMode="auto">
                    <a:xfrm>
                      <a:off x="0" y="0"/>
                      <a:ext cx="1499235" cy="45275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s-EC" w:eastAsia="es-EC" w:bidi="ar-SA"/>
        </w:rPr>
        <mc:AlternateContent>
          <mc:Choice Requires="wps">
            <w:drawing>
              <wp:anchor distT="0" distB="0" distL="114300" distR="114300" simplePos="0" relativeHeight="251683840" behindDoc="0" locked="0" layoutInCell="1" allowOverlap="1" wp14:anchorId="2DEB692C" wp14:editId="3B2E9759">
                <wp:simplePos x="0" y="0"/>
                <wp:positionH relativeFrom="column">
                  <wp:posOffset>8255</wp:posOffset>
                </wp:positionH>
                <wp:positionV relativeFrom="paragraph">
                  <wp:posOffset>1988023</wp:posOffset>
                </wp:positionV>
                <wp:extent cx="6576060" cy="0"/>
                <wp:effectExtent l="57150" t="57150" r="53340" b="95250"/>
                <wp:wrapNone/>
                <wp:docPr id="15" name="Straight Connector 15"/>
                <wp:cNvGraphicFramePr/>
                <a:graphic xmlns:a="http://schemas.openxmlformats.org/drawingml/2006/main">
                  <a:graphicData uri="http://schemas.microsoft.com/office/word/2010/wordprocessingShape">
                    <wps:wsp>
                      <wps:cNvCnPr/>
                      <wps:spPr>
                        <a:xfrm>
                          <a:off x="0" y="0"/>
                          <a:ext cx="6576060" cy="0"/>
                        </a:xfrm>
                        <a:prstGeom prst="line">
                          <a:avLst/>
                        </a:prstGeom>
                        <a:ln>
                          <a:solidFill>
                            <a:srgbClr val="21B1AA"/>
                          </a:solidFill>
                        </a:ln>
                      </wps:spPr>
                      <wps:style>
                        <a:lnRef idx="2">
                          <a:schemeClr val="accent5"/>
                        </a:lnRef>
                        <a:fillRef idx="0">
                          <a:schemeClr val="accent5"/>
                        </a:fillRef>
                        <a:effectRef idx="1">
                          <a:schemeClr val="accent5"/>
                        </a:effectRef>
                        <a:fontRef idx="minor">
                          <a:schemeClr val="tx1"/>
                        </a:fontRef>
                      </wps:style>
                      <wps:bodyPr/>
                    </wps:wsp>
                  </a:graphicData>
                </a:graphic>
              </wp:anchor>
            </w:drawing>
          </mc:Choice>
          <mc:Fallback>
            <w:pict>
              <v:line id="Straight Connector 15" o:spid="_x0000_s1026" style="position:absolute;z-index:251683840;visibility:visible;mso-wrap-style:square;mso-wrap-distance-left:9pt;mso-wrap-distance-top:0;mso-wrap-distance-right:9pt;mso-wrap-distance-bottom:0;mso-position-horizontal:absolute;mso-position-horizontal-relative:text;mso-position-vertical:absolute;mso-position-vertical-relative:text" from=".65pt,156.55pt" to="518.45pt,156.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" strokecolor="#21b1aa" strokeweight="2.25pt">
                <v:shadow on="t" color="black" opacity="24903f" origin=",.5" offset="0,.55556mm"/>
              </v:line>
            </w:pict>
          </mc:Fallback>
        </mc:AlternateContent>
      </w:r>
      <w:r w:rsidR="00FE0A40">
        <w:rPr>
          <w:rFonts w:asciiTheme="minorHAnsi" w:hAnsiTheme="minorHAnsi"/>
          <w:i w:val="0"/>
          <w:noProof/>
          <w:color w:val="2F5897" w:themeColor="text2"/>
          <w:sz w:val="22"/>
          <w:lang w:val="es-EC" w:eastAsia="es-EC" w:bidi="ar-SA"/>
        </w:rPr>
        <mc:AlternateContent>
          <mc:Choice Requires="wps">
            <w:drawing>
              <wp:anchor distT="182880" distB="0" distL="114300" distR="114300" simplePos="0" relativeHeight="251665408" behindDoc="1" locked="0" layoutInCell="1" allowOverlap="1" wp14:anchorId="4EDAE7B0" wp14:editId="3EF721B4">
                <wp:simplePos x="0" y="0"/>
                <wp:positionH relativeFrom="margin">
                  <wp:align>center</wp:align>
                </wp:positionH>
                <wp:positionV relativeFrom="margin">
                  <wp:align>bottom</wp:align>
                </wp:positionV>
                <wp:extent cx="6583680" cy="3442970"/>
                <wp:effectExtent l="0" t="0" r="7620" b="5080"/>
                <wp:wrapSquare wrapText="bothSides"/>
                <wp:docPr id="4" name="Text Box 4"/>
                <wp:cNvGraphicFramePr/>
                <a:graphic xmlns:a="http://schemas.openxmlformats.org/drawingml/2006/main">
                  <a:graphicData uri="http://schemas.microsoft.com/office/word/2010/wordprocessingShape">
                    <wps:wsp>
                      <wps:cNvSpPr txBox="1"/>
                      <wps:spPr>
                        <a:xfrm>
                          <a:off x="0" y="0"/>
                          <a:ext cx="6583680" cy="3443399"/>
                        </a:xfrm>
                        <a:prstGeom prst="rect">
                          <a:avLst/>
                        </a:prstGeom>
                        <a:gradFill>
                          <a:gsLst>
                            <a:gs pos="18000">
                              <a:schemeClr val="bg1">
                                <a:alpha val="56000"/>
                                <a:lumMod val="100000"/>
                              </a:schemeClr>
                            </a:gs>
                            <a:gs pos="40000">
                              <a:schemeClr val="bg1">
                                <a:alpha val="56000"/>
                                <a:lumMod val="100000"/>
                              </a:schemeClr>
                            </a:gs>
                            <a:gs pos="68000">
                              <a:srgbClr val="21B1AA">
                                <a:lumMod val="74000"/>
                                <a:alpha val="63000"/>
                              </a:srgbClr>
                            </a:gs>
                            <a:gs pos="82000">
                              <a:srgbClr val="13635F">
                                <a:alpha val="64000"/>
                              </a:srgbClr>
                            </a:gs>
                            <a:gs pos="93000">
                              <a:srgbClr val="0D4340">
                                <a:alpha val="71000"/>
                              </a:srgbClr>
                            </a:gs>
                          </a:gsLst>
                        </a:gradFill>
                        <a:ln w="6350">
                          <a:noFill/>
                        </a:ln>
                        <a:effectLst/>
                      </wps:spPr>
                      <wps:style>
                        <a:lnRef idx="0">
                          <a:schemeClr val="accent1"/>
                        </a:lnRef>
                        <a:fillRef idx="1002">
                          <a:schemeClr val="lt2"/>
                        </a:fillRef>
                        <a:effectRef idx="0">
                          <a:schemeClr val="accent1"/>
                        </a:effectRef>
                        <a:fontRef idx="minor">
                          <a:schemeClr val="dk1"/>
                        </a:fontRef>
                      </wps:style>
                      <wps:txbx>
                        <w:txbxContent>
                          <w:tbl>
                            <w:tblPr>
                              <w:tblW w:w="5000" w:type="pct"/>
                              <w:tblBorders>
                                <w:bottom w:val="single" w:sz="18" w:space="0" w:color="6076B4" w:themeColor="accent1"/>
                              </w:tblBorders>
                              <w:tblCellMar>
                                <w:left w:w="0" w:type="dxa"/>
                                <w:bottom w:w="288" w:type="dxa"/>
                                <w:right w:w="0" w:type="dxa"/>
                              </w:tblCellMar>
                              <w:tblLook w:val="04A0" w:firstRow="1" w:lastRow="0" w:firstColumn="1" w:lastColumn="0" w:noHBand="0" w:noVBand="1"/>
                            </w:tblPr>
                            <w:tblGrid>
                              <w:gridCol w:w="1036"/>
                              <w:gridCol w:w="8289"/>
                              <w:gridCol w:w="1036"/>
                            </w:tblGrid>
                            <w:tr w:rsidR="007870A9" w:rsidRPr="00954F2C">
                              <w:tc>
                                <w:tcPr>
                                  <w:tcW w:w="500" w:type="pct"/>
                                </w:tcPr>
                                <w:p w:rsidR="007870A9" w:rsidRDefault="007870A9">
                                  <w:pPr>
                                    <w:spacing w:after="0" w:line="240" w:lineRule="auto"/>
                                    <w:jc w:val="center"/>
                                    <w:rPr>
                                      <w:rFonts w:asciiTheme="majorHAnsi" w:eastAsiaTheme="majorEastAsia" w:hAnsiTheme="majorHAnsi" w:cstheme="majorBidi"/>
                                      <w:i/>
                                      <w:iCs/>
                                      <w:sz w:val="24"/>
                                      <w:szCs w:val="24"/>
                                    </w:rPr>
                                  </w:pPr>
                                </w:p>
                              </w:tc>
                              <w:tc>
                                <w:tcPr>
                                  <w:tcW w:w="4000" w:type="pct"/>
                                </w:tcPr>
                                <w:p w:rsidR="005D25FE" w:rsidRPr="00C210B7" w:rsidRDefault="005D25FE" w:rsidP="005D25FE">
                                  <w:pPr>
                                    <w:spacing w:after="0" w:line="240" w:lineRule="auto"/>
                                    <w:jc w:val="center"/>
                                    <w:rPr>
                                      <w:rFonts w:asciiTheme="majorHAnsi" w:eastAsiaTheme="majorEastAsia" w:hAnsiTheme="majorHAnsi" w:cstheme="majorBidi"/>
                                      <w:b/>
                                      <w:i/>
                                      <w:iCs/>
                                      <w:color w:val="2F5897" w:themeColor="text2"/>
                                      <w:sz w:val="24"/>
                                      <w:szCs w:val="24"/>
                                      <w:lang w:val="es-ES"/>
                                    </w:rPr>
                                  </w:pPr>
                                  <w:r w:rsidRPr="00C210B7">
                                    <w:rPr>
                                      <w:rFonts w:asciiTheme="majorHAnsi" w:eastAsiaTheme="majorEastAsia" w:hAnsiTheme="majorHAnsi" w:cstheme="majorBidi"/>
                                      <w:b/>
                                      <w:i/>
                                      <w:iCs/>
                                      <w:color w:val="2F5897" w:themeColor="text2"/>
                                      <w:sz w:val="24"/>
                                      <w:szCs w:val="24"/>
                                      <w:lang w:val="es-EC"/>
                                    </w:rPr>
                                    <w:t>Nuestra</w:t>
                                  </w:r>
                                  <w:r w:rsidRPr="00C210B7">
                                    <w:rPr>
                                      <w:rFonts w:asciiTheme="majorHAnsi" w:eastAsiaTheme="majorEastAsia" w:hAnsiTheme="majorHAnsi" w:cstheme="majorBidi"/>
                                      <w:b/>
                                      <w:i/>
                                      <w:iCs/>
                                      <w:color w:val="2F5897" w:themeColor="text2"/>
                                      <w:sz w:val="24"/>
                                      <w:szCs w:val="24"/>
                                      <w:lang w:val="es-ES"/>
                                    </w:rPr>
                                    <w:t xml:space="preserve"> Misión: </w:t>
                                  </w:r>
                                </w:p>
                                <w:p w:rsidR="005D25FE" w:rsidRPr="00954F2C" w:rsidRDefault="005D25FE" w:rsidP="005D25FE">
                                  <w:pPr>
                                    <w:spacing w:after="0" w:line="240" w:lineRule="auto"/>
                                    <w:jc w:val="center"/>
                                    <w:rPr>
                                      <w:rFonts w:asciiTheme="majorHAnsi" w:eastAsiaTheme="majorEastAsia" w:hAnsiTheme="majorHAnsi" w:cstheme="majorBidi"/>
                                      <w:i/>
                                      <w:iCs/>
                                      <w:color w:val="2F5897" w:themeColor="text2"/>
                                      <w:sz w:val="10"/>
                                      <w:szCs w:val="24"/>
                                      <w:lang w:val="es-ES"/>
                                    </w:rPr>
                                  </w:pPr>
                                </w:p>
                                <w:p w:rsidR="007870A9" w:rsidRPr="005D25FE" w:rsidRDefault="005D25FE" w:rsidP="005D25FE">
                                  <w:pPr>
                                    <w:spacing w:after="0" w:line="240" w:lineRule="auto"/>
                                    <w:jc w:val="center"/>
                                    <w:rPr>
                                      <w:rFonts w:asciiTheme="majorHAnsi" w:eastAsiaTheme="majorEastAsia" w:hAnsiTheme="majorHAnsi" w:cstheme="majorBidi"/>
                                      <w:i/>
                                      <w:iCs/>
                                      <w:sz w:val="24"/>
                                      <w:szCs w:val="24"/>
                                      <w:lang w:val="es-ES"/>
                                    </w:rPr>
                                  </w:pPr>
                                  <w:r w:rsidRPr="005D25FE">
                                    <w:rPr>
                                      <w:rFonts w:asciiTheme="majorHAnsi" w:eastAsiaTheme="majorEastAsia" w:hAnsiTheme="majorHAnsi" w:cstheme="majorBidi"/>
                                      <w:i/>
                                      <w:iCs/>
                                      <w:color w:val="2F5897" w:themeColor="text2"/>
                                      <w:sz w:val="24"/>
                                      <w:szCs w:val="24"/>
                                      <w:lang w:val="es-ES"/>
                                    </w:rPr>
                                    <w:t>“Proporcionar servicios de alta calidad en auditoría, contabilidad, impuestos y asesoría gerencial con profesionalismo y compromiso”</w:t>
                                  </w:r>
                                </w:p>
                              </w:tc>
                              <w:tc>
                                <w:tcPr>
                                  <w:tcW w:w="500" w:type="pct"/>
                                </w:tcPr>
                                <w:p w:rsidR="007870A9" w:rsidRPr="005D25FE" w:rsidRDefault="007870A9">
                                  <w:pPr>
                                    <w:spacing w:after="0" w:line="240" w:lineRule="auto"/>
                                    <w:jc w:val="center"/>
                                    <w:rPr>
                                      <w:rFonts w:asciiTheme="majorHAnsi" w:eastAsiaTheme="majorEastAsia" w:hAnsiTheme="majorHAnsi" w:cstheme="majorBidi"/>
                                      <w:i/>
                                      <w:iCs/>
                                      <w:sz w:val="24"/>
                                      <w:szCs w:val="24"/>
                                      <w:lang w:val="es-ES"/>
                                    </w:rPr>
                                  </w:pPr>
                                </w:p>
                              </w:tc>
                            </w:tr>
                          </w:tbl>
                          <w:p w:rsidR="007870A9" w:rsidRPr="005D25FE" w:rsidRDefault="007870A9">
                            <w:pPr>
                              <w:jc w:val="center"/>
                              <w:rPr>
                                <w:rFonts w:asciiTheme="majorHAnsi" w:eastAsiaTheme="majorEastAsia" w:hAnsiTheme="majorHAnsi" w:cstheme="majorBidi"/>
                                <w:i/>
                                <w:iCs/>
                                <w:sz w:val="24"/>
                                <w:szCs w:val="24"/>
                                <w:lang w:val="es-ES"/>
                              </w:rPr>
                            </w:pPr>
                          </w:p>
                        </w:txbxContent>
                      </wps:txbx>
                      <wps:bodyPr rot="0" spcFirstLastPara="0" vertOverflow="overflow" horzOverflow="overflow" vert="horz" wrap="square" lIns="0" tIns="182880" rIns="0" bIns="0" numCol="1" spcCol="0" rtlCol="0" fromWordArt="0" anchor="t" anchorCtr="0" forceAA="0" compatLnSpc="1">
                        <a:prstTxWarp prst="textNoShape">
                          <a:avLst/>
                        </a:prstTxWarp>
                        <a:noAutofit/>
                      </wps:bodyPr>
                    </wps:wsp>
                  </a:graphicData>
                </a:graphic>
                <wp14:sizeRelH relativeFrom="margin">
                  <wp14:pctWidth>100000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4" o:spid="_x0000_s1029" type="#_x0000_t202" style="position:absolute;left:0;text-align:left;margin-left:0;margin-top:0;width:518.4pt;height:271.1pt;z-index:-251651072;visibility:visible;mso-wrap-style:square;mso-width-percent:1000;mso-height-percent:0;mso-wrap-distance-left:9pt;mso-wrap-distance-top:14.4pt;mso-wrap-distance-right:9pt;mso-wrap-distance-bottom:0;mso-position-horizontal:center;mso-position-horizontal-relative:margin;mso-position-vertical:bottom;mso-position-vertical-relative:margin;mso-width-percent:10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" fillcolor="white [3212]" stroked="f" strokeweight=".5pt">
                <v:fill opacity="46530f" color2="#0d4340" o:opacity2="36700f" rotate="t" focusposition=".5,.5" focussize="" colors="0 white;11796f white;26214f white;44564f #18837e;53740f #13635f" focus="100%" type="gradientRadial"/>
                <v:textbox inset="0,14.4pt,0,0">
                  <w:txbxContent>
                    <w:tbl>
                      <w:tblPr>
                        <w:tblW w:w="5000" w:type="pct"/>
                        <w:tblBorders>
                          <w:bottom w:val="single" w:sz="18" w:space="0" w:color="6076B4" w:themeColor="accent1"/>
                        </w:tblBorders>
                        <w:tblCellMar>
                          <w:left w:w="0" w:type="dxa"/>
                          <w:bottom w:w="288" w:type="dxa"/>
                          <w:right w:w="0" w:type="dxa"/>
                        </w:tblCellMar>
                        <w:tblLook w:val="04A0" w:firstRow="1" w:lastRow="0" w:firstColumn="1" w:lastColumn="0" w:noHBand="0" w:noVBand="1"/>
                      </w:tblPr>
                      <w:tblGrid>
                        <w:gridCol w:w="1036"/>
                        <w:gridCol w:w="8289"/>
                        <w:gridCol w:w="1036"/>
                      </w:tblGrid>
                      <w:tr w:rsidR="007870A9" w:rsidRPr="00954F2C">
                        <w:tc>
                          <w:tcPr>
                            <w:tcW w:w="500" w:type="pct"/>
                          </w:tcPr>
                          <w:p w:rsidR="007870A9" w:rsidRDefault="007870A9">
                            <w:pPr>
                              <w:spacing w:after="0" w:line="240" w:lineRule="auto"/>
                              <w:jc w:val="center"/>
                              <w:rPr>
                                <w:rFonts w:asciiTheme="majorHAnsi" w:eastAsiaTheme="majorEastAsia" w:hAnsiTheme="majorHAnsi" w:cstheme="majorBidi"/>
                                <w:i/>
                                <w:iCs/>
                                <w:sz w:val="24"/>
                                <w:szCs w:val="24"/>
                              </w:rPr>
                            </w:pPr>
                          </w:p>
                        </w:tc>
                        <w:tc>
                          <w:tcPr>
                            <w:tcW w:w="4000" w:type="pct"/>
                          </w:tcPr>
                          <w:p w:rsidR="005D25FE" w:rsidRPr="00C210B7" w:rsidRDefault="005D25FE" w:rsidP="005D25FE">
                            <w:pPr>
                              <w:spacing w:after="0" w:line="240" w:lineRule="auto"/>
                              <w:jc w:val="center"/>
                              <w:rPr>
                                <w:rFonts w:asciiTheme="majorHAnsi" w:eastAsiaTheme="majorEastAsia" w:hAnsiTheme="majorHAnsi" w:cstheme="majorBidi"/>
                                <w:b/>
                                <w:i/>
                                <w:iCs/>
                                <w:color w:val="2F5897" w:themeColor="text2"/>
                                <w:sz w:val="24"/>
                                <w:szCs w:val="24"/>
                                <w:lang w:val="es-ES"/>
                              </w:rPr>
                            </w:pPr>
                            <w:r w:rsidRPr="00C210B7">
                              <w:rPr>
                                <w:rFonts w:asciiTheme="majorHAnsi" w:eastAsiaTheme="majorEastAsia" w:hAnsiTheme="majorHAnsi" w:cstheme="majorBidi"/>
                                <w:b/>
                                <w:i/>
                                <w:iCs/>
                                <w:color w:val="2F5897" w:themeColor="text2"/>
                                <w:sz w:val="24"/>
                                <w:szCs w:val="24"/>
                                <w:lang w:val="es-EC"/>
                              </w:rPr>
                              <w:t>Nuestra</w:t>
                            </w:r>
                            <w:r w:rsidRPr="00C210B7">
                              <w:rPr>
                                <w:rFonts w:asciiTheme="majorHAnsi" w:eastAsiaTheme="majorEastAsia" w:hAnsiTheme="majorHAnsi" w:cstheme="majorBidi"/>
                                <w:b/>
                                <w:i/>
                                <w:iCs/>
                                <w:color w:val="2F5897" w:themeColor="text2"/>
                                <w:sz w:val="24"/>
                                <w:szCs w:val="24"/>
                                <w:lang w:val="es-ES"/>
                              </w:rPr>
                              <w:t xml:space="preserve"> Misión: </w:t>
                            </w:r>
                          </w:p>
                          <w:p w:rsidR="005D25FE" w:rsidRPr="00954F2C" w:rsidRDefault="005D25FE" w:rsidP="005D25FE">
                            <w:pPr>
                              <w:spacing w:after="0" w:line="240" w:lineRule="auto"/>
                              <w:jc w:val="center"/>
                              <w:rPr>
                                <w:rFonts w:asciiTheme="majorHAnsi" w:eastAsiaTheme="majorEastAsia" w:hAnsiTheme="majorHAnsi" w:cstheme="majorBidi"/>
                                <w:i/>
                                <w:iCs/>
                                <w:color w:val="2F5897" w:themeColor="text2"/>
                                <w:sz w:val="10"/>
                                <w:szCs w:val="24"/>
                                <w:lang w:val="es-ES"/>
                              </w:rPr>
                            </w:pPr>
                          </w:p>
                          <w:p w:rsidR="007870A9" w:rsidRPr="005D25FE" w:rsidRDefault="005D25FE" w:rsidP="005D25FE">
                            <w:pPr>
                              <w:spacing w:after="0" w:line="240" w:lineRule="auto"/>
                              <w:jc w:val="center"/>
                              <w:rPr>
                                <w:rFonts w:asciiTheme="majorHAnsi" w:eastAsiaTheme="majorEastAsia" w:hAnsiTheme="majorHAnsi" w:cstheme="majorBidi"/>
                                <w:i/>
                                <w:iCs/>
                                <w:sz w:val="24"/>
                                <w:szCs w:val="24"/>
                                <w:lang w:val="es-ES"/>
                              </w:rPr>
                            </w:pPr>
                            <w:r w:rsidRPr="005D25FE">
                              <w:rPr>
                                <w:rFonts w:asciiTheme="majorHAnsi" w:eastAsiaTheme="majorEastAsia" w:hAnsiTheme="majorHAnsi" w:cstheme="majorBidi"/>
                                <w:i/>
                                <w:iCs/>
                                <w:color w:val="2F5897" w:themeColor="text2"/>
                                <w:sz w:val="24"/>
                                <w:szCs w:val="24"/>
                                <w:lang w:val="es-ES"/>
                              </w:rPr>
                              <w:t>“Proporcionar servicios de alta calidad en auditoría, contabilidad, impuestos y asesoría gerencial con profesionalismo y compromiso”</w:t>
                            </w:r>
                          </w:p>
                        </w:tc>
                        <w:tc>
                          <w:tcPr>
                            <w:tcW w:w="500" w:type="pct"/>
                          </w:tcPr>
                          <w:p w:rsidR="007870A9" w:rsidRPr="005D25FE" w:rsidRDefault="007870A9">
                            <w:pPr>
                              <w:spacing w:after="0" w:line="240" w:lineRule="auto"/>
                              <w:jc w:val="center"/>
                              <w:rPr>
                                <w:rFonts w:asciiTheme="majorHAnsi" w:eastAsiaTheme="majorEastAsia" w:hAnsiTheme="majorHAnsi" w:cstheme="majorBidi"/>
                                <w:i/>
                                <w:iCs/>
                                <w:sz w:val="24"/>
                                <w:szCs w:val="24"/>
                                <w:lang w:val="es-ES"/>
                              </w:rPr>
                            </w:pPr>
                          </w:p>
                        </w:tc>
                      </w:tr>
                    </w:tbl>
                    <w:p w:rsidR="007870A9" w:rsidRPr="005D25FE" w:rsidRDefault="007870A9">
                      <w:pPr>
                        <w:jc w:val="center"/>
                        <w:rPr>
                          <w:rFonts w:asciiTheme="majorHAnsi" w:eastAsiaTheme="majorEastAsia" w:hAnsiTheme="majorHAnsi" w:cstheme="majorBidi"/>
                          <w:i/>
                          <w:iCs/>
                          <w:sz w:val="24"/>
                          <w:szCs w:val="24"/>
                          <w:lang w:val="es-ES"/>
                        </w:rPr>
                      </w:pPr>
                    </w:p>
                  </w:txbxContent>
                </v:textbox>
                <w10:wrap type="square" anchorx="margin" anchory="margin"/>
              </v:shape>
            </w:pict>
          </mc:Fallback>
        </mc:AlternateContent>
      </w:r>
    </w:p>
    <w:sectPr w:rsidR="007870A9">
      <w:type w:val="continuous"/>
      <w:pgSz w:w="12240" w:h="15840"/>
      <w:pgMar w:top="936" w:right="936" w:bottom="936" w:left="936" w:header="720" w:footer="720" w:gutter="0"/>
      <w:cols w:num="3"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alatino Linotype">
    <w:panose1 w:val="02040502050505030304"/>
    <w:charset w:val="00"/>
    <w:family w:val="roman"/>
    <w:pitch w:val="variable"/>
    <w:sig w:usb0="E0000287" w:usb1="40000013"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Century Gothic">
    <w:panose1 w:val="020B0502020202020204"/>
    <w:charset w:val="00"/>
    <w:family w:val="swiss"/>
    <w:pitch w:val="variable"/>
    <w:sig w:usb0="00000287" w:usb1="00000000" w:usb2="00000000" w:usb3="00000000" w:csb0="0000009F" w:csb1="00000000"/>
  </w:font>
  <w:font w:name="HYGothic-Medium">
    <w:altName w:val="HY중고딕"/>
    <w:panose1 w:val="00000000000000000000"/>
    <w:charset w:val="81"/>
    <w:family w:val="roman"/>
    <w:notTrueType/>
    <w:pitch w:val="default"/>
  </w:font>
  <w:font w:name="Tahoma">
    <w:panose1 w:val="020B0604030504040204"/>
    <w:charset w:val="00"/>
    <w:family w:val="swiss"/>
    <w:pitch w:val="variable"/>
    <w:sig w:usb0="E1002EFF" w:usb1="C000605B" w:usb2="00000029" w:usb3="00000000" w:csb0="000101FF" w:csb1="00000000"/>
  </w:font>
  <w:font w:name="Arno Pro Display">
    <w:altName w:val="Times New Roman"/>
    <w:panose1 w:val="00000000000000000000"/>
    <w:charset w:val="00"/>
    <w:family w:val="roman"/>
    <w:notTrueType/>
    <w:pitch w:val="variable"/>
    <w:sig w:usb0="00000001" w:usb1="00000001" w:usb2="00000000" w:usb3="00000000" w:csb0="0000019F" w:csb1="00000000"/>
  </w:font>
  <w:font w:name="Arial">
    <w:panose1 w:val="020B0604020202020204"/>
    <w:charset w:val="00"/>
    <w:family w:val="swiss"/>
    <w:pitch w:val="variable"/>
    <w:sig w:usb0="E0002EFF" w:usb1="C0007843" w:usb2="00000009" w:usb3="00000000" w:csb0="000001FF" w:csb1="00000000"/>
  </w:font>
  <w:font w:name="Century751 SeBd BT">
    <w:altName w:val="Times New Roman"/>
    <w:charset w:val="00"/>
    <w:family w:val="auto"/>
    <w:pitch w:val="variable"/>
    <w:sig w:usb0="00000001" w:usb1="1000204A" w:usb2="00000000" w:usb3="00000000" w:csb0="0000001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2" type="#_x0000_t75" style="width:9.2pt;height:9.2pt" o:bullet="t">
        <v:imagedata r:id="rId1" o:title="BD15059_"/>
      </v:shape>
    </w:pict>
  </w:numPicBullet>
  <w:abstractNum w:abstractNumId="0">
    <w:nsid w:val="540B65AA"/>
    <w:multiLevelType w:val="hybridMultilevel"/>
    <w:tmpl w:val="59D4AC20"/>
    <w:lvl w:ilvl="0" w:tplc="6EDA0EC2">
      <w:start w:val="1"/>
      <w:numFmt w:val="bullet"/>
      <w:lvlText w:val=""/>
      <w:lvlPicBulletId w:val="0"/>
      <w:lvlJc w:val="left"/>
      <w:pPr>
        <w:ind w:left="1068" w:hanging="360"/>
      </w:pPr>
      <w:rPr>
        <w:rFonts w:ascii="Symbol" w:hAnsi="Symbol" w:hint="default"/>
        <w:color w:val="auto"/>
      </w:rPr>
    </w:lvl>
    <w:lvl w:ilvl="1" w:tplc="0C0A0003" w:tentative="1">
      <w:start w:val="1"/>
      <w:numFmt w:val="bullet"/>
      <w:lvlText w:val="o"/>
      <w:lvlJc w:val="left"/>
      <w:pPr>
        <w:ind w:left="1788" w:hanging="360"/>
      </w:pPr>
      <w:rPr>
        <w:rFonts w:ascii="Courier New" w:hAnsi="Courier New" w:cs="Courier New" w:hint="default"/>
      </w:rPr>
    </w:lvl>
    <w:lvl w:ilvl="2" w:tplc="0C0A0005" w:tentative="1">
      <w:start w:val="1"/>
      <w:numFmt w:val="bullet"/>
      <w:lvlText w:val=""/>
      <w:lvlJc w:val="left"/>
      <w:pPr>
        <w:ind w:left="2508" w:hanging="360"/>
      </w:pPr>
      <w:rPr>
        <w:rFonts w:ascii="Wingdings" w:hAnsi="Wingdings" w:hint="default"/>
      </w:rPr>
    </w:lvl>
    <w:lvl w:ilvl="3" w:tplc="0C0A0001" w:tentative="1">
      <w:start w:val="1"/>
      <w:numFmt w:val="bullet"/>
      <w:lvlText w:val=""/>
      <w:lvlJc w:val="left"/>
      <w:pPr>
        <w:ind w:left="3228" w:hanging="360"/>
      </w:pPr>
      <w:rPr>
        <w:rFonts w:ascii="Symbol" w:hAnsi="Symbol" w:hint="default"/>
      </w:rPr>
    </w:lvl>
    <w:lvl w:ilvl="4" w:tplc="0C0A0003" w:tentative="1">
      <w:start w:val="1"/>
      <w:numFmt w:val="bullet"/>
      <w:lvlText w:val="o"/>
      <w:lvlJc w:val="left"/>
      <w:pPr>
        <w:ind w:left="3948" w:hanging="360"/>
      </w:pPr>
      <w:rPr>
        <w:rFonts w:ascii="Courier New" w:hAnsi="Courier New" w:cs="Courier New" w:hint="default"/>
      </w:rPr>
    </w:lvl>
    <w:lvl w:ilvl="5" w:tplc="0C0A0005" w:tentative="1">
      <w:start w:val="1"/>
      <w:numFmt w:val="bullet"/>
      <w:lvlText w:val=""/>
      <w:lvlJc w:val="left"/>
      <w:pPr>
        <w:ind w:left="4668" w:hanging="360"/>
      </w:pPr>
      <w:rPr>
        <w:rFonts w:ascii="Wingdings" w:hAnsi="Wingdings" w:hint="default"/>
      </w:rPr>
    </w:lvl>
    <w:lvl w:ilvl="6" w:tplc="0C0A0001" w:tentative="1">
      <w:start w:val="1"/>
      <w:numFmt w:val="bullet"/>
      <w:lvlText w:val=""/>
      <w:lvlJc w:val="left"/>
      <w:pPr>
        <w:ind w:left="5388" w:hanging="360"/>
      </w:pPr>
      <w:rPr>
        <w:rFonts w:ascii="Symbol" w:hAnsi="Symbol" w:hint="default"/>
      </w:rPr>
    </w:lvl>
    <w:lvl w:ilvl="7" w:tplc="0C0A0003" w:tentative="1">
      <w:start w:val="1"/>
      <w:numFmt w:val="bullet"/>
      <w:lvlText w:val="o"/>
      <w:lvlJc w:val="left"/>
      <w:pPr>
        <w:ind w:left="6108" w:hanging="360"/>
      </w:pPr>
      <w:rPr>
        <w:rFonts w:ascii="Courier New" w:hAnsi="Courier New" w:cs="Courier New" w:hint="default"/>
      </w:rPr>
    </w:lvl>
    <w:lvl w:ilvl="8" w:tplc="0C0A0005" w:tentative="1">
      <w:start w:val="1"/>
      <w:numFmt w:val="bullet"/>
      <w:lvlText w:val=""/>
      <w:lvlJc w:val="left"/>
      <w:pPr>
        <w:ind w:left="6828"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removeDateAndTime/>
  <w:proofState w:spelling="clean" w:grammar="clean"/>
  <w:attachedTemplate r:id="rId1"/>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71A9"/>
    <w:rsid w:val="00165C68"/>
    <w:rsid w:val="002671A9"/>
    <w:rsid w:val="002A7BD6"/>
    <w:rsid w:val="00363E28"/>
    <w:rsid w:val="004127AF"/>
    <w:rsid w:val="00491E34"/>
    <w:rsid w:val="004B343A"/>
    <w:rsid w:val="005D25FE"/>
    <w:rsid w:val="006455FD"/>
    <w:rsid w:val="007870A9"/>
    <w:rsid w:val="007E04AF"/>
    <w:rsid w:val="00850E2F"/>
    <w:rsid w:val="00954F2C"/>
    <w:rsid w:val="00B01908"/>
    <w:rsid w:val="00B40C41"/>
    <w:rsid w:val="00C210B7"/>
    <w:rsid w:val="00C32BBF"/>
    <w:rsid w:val="00C527C1"/>
    <w:rsid w:val="00D122AA"/>
    <w:rsid w:val="00E5020E"/>
    <w:rsid w:val="00E64237"/>
    <w:rsid w:val="00E8609B"/>
    <w:rsid w:val="00F20655"/>
    <w:rsid w:val="00FE0A40"/>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ko-K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1"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basedOn w:val="Normal"/>
    <w:next w:val="Normal"/>
    <w:link w:val="Ttulo1Car"/>
    <w:uiPriority w:val="9"/>
    <w:qFormat/>
    <w:pPr>
      <w:keepNext/>
      <w:keepLines/>
      <w:spacing w:before="360" w:after="0" w:line="240" w:lineRule="auto"/>
      <w:outlineLvl w:val="0"/>
    </w:pPr>
    <w:rPr>
      <w:rFonts w:asciiTheme="majorHAnsi" w:eastAsiaTheme="majorEastAsia" w:hAnsiTheme="majorHAnsi" w:cstheme="majorBidi"/>
      <w:bCs/>
      <w:i/>
      <w:color w:val="6076B4" w:themeColor="accent1"/>
      <w:sz w:val="32"/>
      <w:szCs w:val="32"/>
      <w:lang w:eastAsia="en-US"/>
    </w:rPr>
  </w:style>
  <w:style w:type="paragraph" w:styleId="Ttulo2">
    <w:name w:val="heading 2"/>
    <w:basedOn w:val="Normal"/>
    <w:next w:val="Normal"/>
    <w:link w:val="Ttulo2Car"/>
    <w:uiPriority w:val="9"/>
    <w:semiHidden/>
    <w:unhideWhenUsed/>
    <w:qFormat/>
    <w:pPr>
      <w:keepNext/>
      <w:keepLines/>
      <w:spacing w:before="120" w:after="0" w:line="240" w:lineRule="auto"/>
      <w:outlineLvl w:val="1"/>
    </w:pPr>
    <w:rPr>
      <w:rFonts w:asciiTheme="majorHAnsi" w:eastAsiaTheme="majorEastAsia" w:hAnsiTheme="majorHAnsi" w:cstheme="majorBidi"/>
      <w:bCs/>
      <w:color w:val="2F5897" w:themeColor="text2"/>
      <w:sz w:val="28"/>
      <w:szCs w:val="26"/>
      <w:lang w:eastAsia="en-US"/>
    </w:rPr>
  </w:style>
  <w:style w:type="paragraph" w:styleId="Ttulo3">
    <w:name w:val="heading 3"/>
    <w:basedOn w:val="Normal"/>
    <w:next w:val="Normal"/>
    <w:link w:val="Ttulo3Car"/>
    <w:uiPriority w:val="9"/>
    <w:semiHidden/>
    <w:unhideWhenUsed/>
    <w:qFormat/>
    <w:pPr>
      <w:keepNext/>
      <w:keepLines/>
      <w:spacing w:before="20" w:after="0" w:line="240" w:lineRule="auto"/>
      <w:outlineLvl w:val="2"/>
    </w:pPr>
    <w:rPr>
      <w:rFonts w:asciiTheme="majorHAnsi" w:eastAsiaTheme="majorEastAsia" w:hAnsiTheme="majorHAnsi" w:cstheme="majorBidi"/>
      <w:bCs/>
      <w:i/>
      <w:color w:val="2F5897" w:themeColor="text2"/>
      <w:sz w:val="23"/>
      <w:lang w:eastAsia="en-US"/>
    </w:rPr>
  </w:style>
  <w:style w:type="paragraph" w:styleId="Ttulo4">
    <w:name w:val="heading 4"/>
    <w:basedOn w:val="Normal"/>
    <w:next w:val="Normal"/>
    <w:link w:val="Ttulo4Car"/>
    <w:uiPriority w:val="9"/>
    <w:semiHidden/>
    <w:unhideWhenUsed/>
    <w:qFormat/>
    <w:pPr>
      <w:keepNext/>
      <w:keepLines/>
      <w:spacing w:before="200" w:after="0" w:line="264" w:lineRule="auto"/>
      <w:outlineLvl w:val="3"/>
    </w:pPr>
    <w:rPr>
      <w:rFonts w:asciiTheme="majorHAnsi" w:eastAsiaTheme="majorEastAsia" w:hAnsiTheme="majorHAnsi" w:cstheme="majorBidi"/>
      <w:bCs/>
      <w:i/>
      <w:iCs/>
      <w:color w:val="2F5897" w:themeColor="text2"/>
      <w:sz w:val="23"/>
      <w:lang w:eastAsia="en-US"/>
    </w:rPr>
  </w:style>
  <w:style w:type="paragraph" w:styleId="Ttulo5">
    <w:name w:val="heading 5"/>
    <w:basedOn w:val="Normal"/>
    <w:next w:val="Normal"/>
    <w:link w:val="Ttulo5Car"/>
    <w:uiPriority w:val="9"/>
    <w:semiHidden/>
    <w:unhideWhenUsed/>
    <w:qFormat/>
    <w:pPr>
      <w:keepNext/>
      <w:keepLines/>
      <w:spacing w:before="200" w:after="0" w:line="264" w:lineRule="auto"/>
      <w:outlineLvl w:val="4"/>
    </w:pPr>
    <w:rPr>
      <w:rFonts w:asciiTheme="majorHAnsi" w:eastAsiaTheme="majorEastAsia" w:hAnsiTheme="majorHAnsi" w:cstheme="majorBidi"/>
      <w:color w:val="2F5897" w:themeColor="text2"/>
      <w:lang w:eastAsia="en-US"/>
    </w:rPr>
  </w:style>
  <w:style w:type="paragraph" w:styleId="Ttulo6">
    <w:name w:val="heading 6"/>
    <w:basedOn w:val="Normal"/>
    <w:next w:val="Normal"/>
    <w:link w:val="Ttulo6Car"/>
    <w:uiPriority w:val="9"/>
    <w:semiHidden/>
    <w:unhideWhenUsed/>
    <w:qFormat/>
    <w:pPr>
      <w:keepNext/>
      <w:keepLines/>
      <w:spacing w:before="200" w:after="0" w:line="264" w:lineRule="auto"/>
      <w:outlineLvl w:val="5"/>
    </w:pPr>
    <w:rPr>
      <w:rFonts w:asciiTheme="majorHAnsi" w:eastAsiaTheme="majorEastAsia" w:hAnsiTheme="majorHAnsi" w:cstheme="majorBidi"/>
      <w:i/>
      <w:iCs/>
      <w:color w:val="2F5897" w:themeColor="text2"/>
      <w:sz w:val="21"/>
      <w:lang w:eastAsia="en-US"/>
    </w:rPr>
  </w:style>
  <w:style w:type="paragraph" w:styleId="Ttulo7">
    <w:name w:val="heading 7"/>
    <w:basedOn w:val="Normal"/>
    <w:next w:val="Normal"/>
    <w:link w:val="Ttulo7Car"/>
    <w:uiPriority w:val="9"/>
    <w:semiHidden/>
    <w:unhideWhenUsed/>
    <w:qFormat/>
    <w:pPr>
      <w:keepNext/>
      <w:keepLines/>
      <w:spacing w:before="200" w:after="0" w:line="264" w:lineRule="auto"/>
      <w:outlineLvl w:val="6"/>
    </w:pPr>
    <w:rPr>
      <w:rFonts w:asciiTheme="majorHAnsi" w:eastAsiaTheme="majorEastAsia" w:hAnsiTheme="majorHAnsi" w:cstheme="majorBidi"/>
      <w:i/>
      <w:iCs/>
      <w:color w:val="000000" w:themeColor="text1"/>
      <w:sz w:val="21"/>
      <w:lang w:eastAsia="en-US"/>
    </w:rPr>
  </w:style>
  <w:style w:type="paragraph" w:styleId="Ttulo8">
    <w:name w:val="heading 8"/>
    <w:basedOn w:val="Normal"/>
    <w:next w:val="Normal"/>
    <w:link w:val="Ttulo8Car"/>
    <w:uiPriority w:val="9"/>
    <w:semiHidden/>
    <w:unhideWhenUsed/>
    <w:qFormat/>
    <w:pPr>
      <w:keepNext/>
      <w:keepLines/>
      <w:spacing w:before="200" w:after="0" w:line="264" w:lineRule="auto"/>
      <w:outlineLvl w:val="7"/>
    </w:pPr>
    <w:rPr>
      <w:rFonts w:asciiTheme="majorHAnsi" w:eastAsiaTheme="majorEastAsia" w:hAnsiTheme="majorHAnsi" w:cstheme="majorBidi"/>
      <w:color w:val="000000" w:themeColor="text1"/>
      <w:sz w:val="20"/>
      <w:szCs w:val="20"/>
      <w:lang w:eastAsia="en-US"/>
    </w:rPr>
  </w:style>
  <w:style w:type="paragraph" w:styleId="Ttulo9">
    <w:name w:val="heading 9"/>
    <w:basedOn w:val="Normal"/>
    <w:next w:val="Normal"/>
    <w:link w:val="Ttulo9Car"/>
    <w:uiPriority w:val="9"/>
    <w:semiHidden/>
    <w:unhideWhenUsed/>
    <w:qFormat/>
    <w:pPr>
      <w:keepNext/>
      <w:keepLines/>
      <w:spacing w:before="200" w:after="0" w:line="264" w:lineRule="auto"/>
      <w:outlineLvl w:val="8"/>
    </w:pPr>
    <w:rPr>
      <w:rFonts w:asciiTheme="majorHAnsi" w:eastAsiaTheme="majorEastAsia" w:hAnsiTheme="majorHAnsi" w:cstheme="majorBidi"/>
      <w:i/>
      <w:iCs/>
      <w:color w:val="000000" w:themeColor="text1"/>
      <w:sz w:val="20"/>
      <w:szCs w:val="20"/>
      <w:lang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Pr>
      <w:rFonts w:asciiTheme="majorHAnsi" w:eastAsiaTheme="majorEastAsia" w:hAnsiTheme="majorHAnsi" w:cstheme="majorBidi"/>
      <w:bCs/>
      <w:i/>
      <w:color w:val="6076B4" w:themeColor="accent1"/>
      <w:sz w:val="32"/>
      <w:szCs w:val="32"/>
      <w:lang w:eastAsia="en-US"/>
    </w:rPr>
  </w:style>
  <w:style w:type="paragraph" w:styleId="Subttulo">
    <w:name w:val="Subtitle"/>
    <w:basedOn w:val="Normal"/>
    <w:next w:val="Normal"/>
    <w:link w:val="SubttuloCar"/>
    <w:uiPriority w:val="11"/>
    <w:qFormat/>
    <w:pPr>
      <w:numPr>
        <w:ilvl w:val="1"/>
      </w:numPr>
    </w:pPr>
    <w:rPr>
      <w:rFonts w:eastAsiaTheme="majorEastAsia" w:cstheme="majorBidi"/>
      <w:iCs/>
      <w:color w:val="000000" w:themeColor="text1"/>
      <w:spacing w:val="15"/>
      <w:sz w:val="24"/>
      <w:szCs w:val="24"/>
    </w:rPr>
  </w:style>
  <w:style w:type="character" w:customStyle="1" w:styleId="SubttuloCar">
    <w:name w:val="Subtítulo Car"/>
    <w:basedOn w:val="Fuentedeprrafopredeter"/>
    <w:link w:val="Subttulo"/>
    <w:uiPriority w:val="11"/>
    <w:rPr>
      <w:rFonts w:eastAsiaTheme="majorEastAsia" w:cstheme="majorBidi"/>
      <w:iCs/>
      <w:color w:val="000000" w:themeColor="text1"/>
      <w:spacing w:val="15"/>
      <w:sz w:val="24"/>
      <w:szCs w:val="24"/>
    </w:rPr>
  </w:style>
  <w:style w:type="paragraph" w:styleId="Textodeglobo">
    <w:name w:val="Balloon Text"/>
    <w:basedOn w:val="Normal"/>
    <w:link w:val="TextodegloboCar"/>
    <w:uiPriority w:val="99"/>
    <w:semiHidden/>
    <w:unhideWhenUsed/>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Pr>
      <w:rFonts w:ascii="Tahoma" w:hAnsi="Tahoma" w:cs="Tahoma"/>
      <w:sz w:val="16"/>
      <w:szCs w:val="16"/>
      <w:lang w:eastAsia="ja-JP"/>
    </w:rPr>
  </w:style>
  <w:style w:type="character" w:customStyle="1" w:styleId="Ttulo2Car">
    <w:name w:val="Título 2 Car"/>
    <w:basedOn w:val="Fuentedeprrafopredeter"/>
    <w:link w:val="Ttulo2"/>
    <w:uiPriority w:val="9"/>
    <w:semiHidden/>
    <w:rPr>
      <w:rFonts w:asciiTheme="majorHAnsi" w:eastAsiaTheme="majorEastAsia" w:hAnsiTheme="majorHAnsi" w:cstheme="majorBidi"/>
      <w:bCs/>
      <w:color w:val="2F5897" w:themeColor="text2"/>
      <w:sz w:val="28"/>
      <w:szCs w:val="26"/>
      <w:lang w:eastAsia="en-US"/>
    </w:rPr>
  </w:style>
  <w:style w:type="character" w:customStyle="1" w:styleId="Ttulo3Car">
    <w:name w:val="Título 3 Car"/>
    <w:basedOn w:val="Fuentedeprrafopredeter"/>
    <w:link w:val="Ttulo3"/>
    <w:uiPriority w:val="9"/>
    <w:semiHidden/>
    <w:rPr>
      <w:rFonts w:asciiTheme="majorHAnsi" w:eastAsiaTheme="majorEastAsia" w:hAnsiTheme="majorHAnsi" w:cstheme="majorBidi"/>
      <w:bCs/>
      <w:i/>
      <w:color w:val="2F5897" w:themeColor="text2"/>
      <w:sz w:val="23"/>
      <w:lang w:eastAsia="en-US"/>
    </w:rPr>
  </w:style>
  <w:style w:type="character" w:customStyle="1" w:styleId="Ttulo4Car">
    <w:name w:val="Título 4 Car"/>
    <w:basedOn w:val="Fuentedeprrafopredeter"/>
    <w:link w:val="Ttulo4"/>
    <w:uiPriority w:val="9"/>
    <w:semiHidden/>
    <w:rPr>
      <w:rFonts w:asciiTheme="majorHAnsi" w:eastAsiaTheme="majorEastAsia" w:hAnsiTheme="majorHAnsi" w:cstheme="majorBidi"/>
      <w:bCs/>
      <w:i/>
      <w:iCs/>
      <w:color w:val="2F5897" w:themeColor="text2"/>
      <w:sz w:val="23"/>
      <w:lang w:eastAsia="en-US"/>
    </w:rPr>
  </w:style>
  <w:style w:type="character" w:customStyle="1" w:styleId="Ttulo5Car">
    <w:name w:val="Título 5 Car"/>
    <w:basedOn w:val="Fuentedeprrafopredeter"/>
    <w:link w:val="Ttulo5"/>
    <w:uiPriority w:val="9"/>
    <w:semiHidden/>
    <w:rPr>
      <w:rFonts w:asciiTheme="majorHAnsi" w:eastAsiaTheme="majorEastAsia" w:hAnsiTheme="majorHAnsi" w:cstheme="majorBidi"/>
      <w:color w:val="2F5897" w:themeColor="text2"/>
      <w:lang w:eastAsia="en-US"/>
    </w:rPr>
  </w:style>
  <w:style w:type="character" w:customStyle="1" w:styleId="Ttulo6Car">
    <w:name w:val="Título 6 Car"/>
    <w:basedOn w:val="Fuentedeprrafopredeter"/>
    <w:link w:val="Ttulo6"/>
    <w:uiPriority w:val="9"/>
    <w:semiHidden/>
    <w:rPr>
      <w:rFonts w:asciiTheme="majorHAnsi" w:eastAsiaTheme="majorEastAsia" w:hAnsiTheme="majorHAnsi" w:cstheme="majorBidi"/>
      <w:i/>
      <w:iCs/>
      <w:color w:val="2F5897" w:themeColor="text2"/>
      <w:sz w:val="21"/>
      <w:lang w:eastAsia="en-US"/>
    </w:rPr>
  </w:style>
  <w:style w:type="character" w:customStyle="1" w:styleId="Ttulo7Car">
    <w:name w:val="Título 7 Car"/>
    <w:basedOn w:val="Fuentedeprrafopredeter"/>
    <w:link w:val="Ttulo7"/>
    <w:uiPriority w:val="9"/>
    <w:semiHidden/>
    <w:rPr>
      <w:rFonts w:asciiTheme="majorHAnsi" w:eastAsiaTheme="majorEastAsia" w:hAnsiTheme="majorHAnsi" w:cstheme="majorBidi"/>
      <w:i/>
      <w:iCs/>
      <w:color w:val="000000" w:themeColor="text1"/>
      <w:sz w:val="21"/>
      <w:lang w:eastAsia="en-US"/>
    </w:rPr>
  </w:style>
  <w:style w:type="character" w:customStyle="1" w:styleId="Ttulo8Car">
    <w:name w:val="Título 8 Car"/>
    <w:basedOn w:val="Fuentedeprrafopredeter"/>
    <w:link w:val="Ttulo8"/>
    <w:uiPriority w:val="9"/>
    <w:semiHidden/>
    <w:rPr>
      <w:rFonts w:asciiTheme="majorHAnsi" w:eastAsiaTheme="majorEastAsia" w:hAnsiTheme="majorHAnsi" w:cstheme="majorBidi"/>
      <w:color w:val="000000" w:themeColor="text1"/>
      <w:sz w:val="20"/>
      <w:szCs w:val="20"/>
      <w:lang w:eastAsia="en-US"/>
    </w:rPr>
  </w:style>
  <w:style w:type="character" w:customStyle="1" w:styleId="Ttulo9Car">
    <w:name w:val="Título 9 Car"/>
    <w:basedOn w:val="Fuentedeprrafopredeter"/>
    <w:link w:val="Ttulo9"/>
    <w:uiPriority w:val="9"/>
    <w:semiHidden/>
    <w:rPr>
      <w:rFonts w:asciiTheme="majorHAnsi" w:eastAsiaTheme="majorEastAsia" w:hAnsiTheme="majorHAnsi" w:cstheme="majorBidi"/>
      <w:i/>
      <w:iCs/>
      <w:color w:val="000000" w:themeColor="text1"/>
      <w:sz w:val="20"/>
      <w:szCs w:val="20"/>
      <w:lang w:eastAsia="en-US"/>
    </w:rPr>
  </w:style>
  <w:style w:type="paragraph" w:styleId="Epgrafe">
    <w:name w:val="caption"/>
    <w:basedOn w:val="Normal"/>
    <w:next w:val="Normal"/>
    <w:uiPriority w:val="35"/>
    <w:semiHidden/>
    <w:unhideWhenUsed/>
    <w:qFormat/>
    <w:pPr>
      <w:spacing w:line="240" w:lineRule="auto"/>
    </w:pPr>
    <w:rPr>
      <w:b/>
      <w:bCs/>
      <w:color w:val="2F5897" w:themeColor="text2"/>
      <w:sz w:val="18"/>
      <w:szCs w:val="18"/>
    </w:rPr>
  </w:style>
  <w:style w:type="paragraph" w:styleId="Ttulo">
    <w:name w:val="Title"/>
    <w:basedOn w:val="Normal"/>
    <w:next w:val="Normal"/>
    <w:link w:val="TtuloCar"/>
    <w:uiPriority w:val="10"/>
    <w:qFormat/>
    <w:pPr>
      <w:spacing w:after="300" w:line="240" w:lineRule="auto"/>
      <w:contextualSpacing/>
    </w:pPr>
    <w:rPr>
      <w:rFonts w:asciiTheme="majorHAnsi" w:eastAsiaTheme="majorEastAsia" w:hAnsiTheme="majorHAnsi" w:cstheme="majorBidi"/>
      <w:color w:val="2F5897" w:themeColor="text2"/>
      <w:spacing w:val="5"/>
      <w:kern w:val="28"/>
      <w:sz w:val="60"/>
      <w:szCs w:val="56"/>
      <w14:ligatures w14:val="standardContextual"/>
      <w14:cntxtAlts/>
    </w:rPr>
  </w:style>
  <w:style w:type="character" w:customStyle="1" w:styleId="TtuloCar">
    <w:name w:val="Título Car"/>
    <w:basedOn w:val="Fuentedeprrafopredeter"/>
    <w:link w:val="Ttulo"/>
    <w:uiPriority w:val="10"/>
    <w:rPr>
      <w:rFonts w:asciiTheme="majorHAnsi" w:eastAsiaTheme="majorEastAsia" w:hAnsiTheme="majorHAnsi" w:cstheme="majorBidi"/>
      <w:color w:val="2F5897" w:themeColor="text2"/>
      <w:spacing w:val="5"/>
      <w:kern w:val="28"/>
      <w:sz w:val="60"/>
      <w:szCs w:val="56"/>
      <w14:ligatures w14:val="standardContextual"/>
      <w14:cntxtAlts/>
    </w:rPr>
  </w:style>
  <w:style w:type="character" w:styleId="Textoennegrita">
    <w:name w:val="Strong"/>
    <w:basedOn w:val="Fuentedeprrafopredeter"/>
    <w:uiPriority w:val="22"/>
    <w:qFormat/>
    <w:rPr>
      <w:b/>
      <w:bCs/>
    </w:rPr>
  </w:style>
  <w:style w:type="character" w:styleId="nfasis">
    <w:name w:val="Emphasis"/>
    <w:basedOn w:val="Fuentedeprrafopredeter"/>
    <w:uiPriority w:val="20"/>
    <w:qFormat/>
    <w:rPr>
      <w:i/>
      <w:iCs/>
      <w:color w:val="000000"/>
    </w:rPr>
  </w:style>
  <w:style w:type="paragraph" w:styleId="Sinespaciado">
    <w:name w:val="No Spacing"/>
    <w:link w:val="SinespaciadoCar"/>
    <w:uiPriority w:val="1"/>
    <w:qFormat/>
    <w:pPr>
      <w:spacing w:after="0" w:line="240" w:lineRule="auto"/>
    </w:pPr>
    <w:rPr>
      <w:lang w:eastAsia="en-US"/>
    </w:rPr>
  </w:style>
  <w:style w:type="character" w:customStyle="1" w:styleId="SinespaciadoCar">
    <w:name w:val="Sin espaciado Car"/>
    <w:basedOn w:val="Fuentedeprrafopredeter"/>
    <w:link w:val="Sinespaciado"/>
    <w:uiPriority w:val="1"/>
    <w:rPr>
      <w:lang w:eastAsia="en-US"/>
    </w:rPr>
  </w:style>
  <w:style w:type="paragraph" w:styleId="Prrafodelista">
    <w:name w:val="List Paragraph"/>
    <w:basedOn w:val="Normal"/>
    <w:uiPriority w:val="34"/>
    <w:qFormat/>
    <w:pPr>
      <w:spacing w:after="160" w:line="240" w:lineRule="auto"/>
      <w:ind w:left="1008" w:hanging="288"/>
      <w:contextualSpacing/>
    </w:pPr>
    <w:rPr>
      <w:rFonts w:eastAsiaTheme="minorHAnsi"/>
      <w:sz w:val="21"/>
      <w:lang w:eastAsia="en-US"/>
    </w:rPr>
  </w:style>
  <w:style w:type="paragraph" w:styleId="Cita">
    <w:name w:val="Quote"/>
    <w:basedOn w:val="Normal"/>
    <w:next w:val="Normal"/>
    <w:link w:val="CitaCar"/>
    <w:uiPriority w:val="29"/>
    <w:qFormat/>
    <w:pPr>
      <w:spacing w:before="160" w:after="160" w:line="300" w:lineRule="auto"/>
      <w:ind w:left="144" w:right="144"/>
      <w:jc w:val="center"/>
    </w:pPr>
    <w:rPr>
      <w:rFonts w:asciiTheme="majorHAnsi" w:hAnsiTheme="majorHAnsi"/>
      <w:i/>
      <w:iCs/>
      <w:color w:val="6076B4" w:themeColor="accent1"/>
      <w:sz w:val="24"/>
      <w:lang w:eastAsia="en-US" w:bidi="hi-IN"/>
    </w:rPr>
  </w:style>
  <w:style w:type="character" w:customStyle="1" w:styleId="CitaCar">
    <w:name w:val="Cita Car"/>
    <w:basedOn w:val="Fuentedeprrafopredeter"/>
    <w:link w:val="Cita"/>
    <w:uiPriority w:val="29"/>
    <w:rPr>
      <w:rFonts w:asciiTheme="majorHAnsi" w:hAnsiTheme="majorHAnsi"/>
      <w:i/>
      <w:iCs/>
      <w:color w:val="6076B4" w:themeColor="accent1"/>
      <w:sz w:val="24"/>
      <w:lang w:eastAsia="en-US" w:bidi="hi-IN"/>
    </w:rPr>
  </w:style>
  <w:style w:type="paragraph" w:styleId="Citadestacada">
    <w:name w:val="Intense Quote"/>
    <w:basedOn w:val="Normal"/>
    <w:next w:val="Normal"/>
    <w:link w:val="CitadestacadaCar"/>
    <w:uiPriority w:val="30"/>
    <w:qFormat/>
    <w:pPr>
      <w:pBdr>
        <w:top w:val="single" w:sz="36" w:space="8" w:color="6076B4" w:themeColor="accent1"/>
        <w:left w:val="single" w:sz="36" w:space="8" w:color="6076B4" w:themeColor="accent1"/>
        <w:bottom w:val="single" w:sz="36" w:space="8" w:color="6076B4" w:themeColor="accent1"/>
        <w:right w:val="single" w:sz="36" w:space="8" w:color="6076B4" w:themeColor="accent1"/>
      </w:pBdr>
      <w:shd w:val="clear" w:color="auto" w:fill="6076B4" w:themeFill="accent1"/>
      <w:spacing w:before="200" w:after="280" w:line="300" w:lineRule="auto"/>
      <w:ind w:left="936" w:right="936"/>
      <w:jc w:val="center"/>
    </w:pPr>
    <w:rPr>
      <w:rFonts w:asciiTheme="majorHAnsi" w:eastAsiaTheme="majorEastAsia" w:hAnsiTheme="majorHAnsi"/>
      <w:bCs/>
      <w:i/>
      <w:iCs/>
      <w:color w:val="FFFFFF" w:themeColor="background1"/>
      <w:sz w:val="24"/>
      <w:lang w:eastAsia="en-US" w:bidi="hi-IN"/>
      <w14:ligatures w14:val="standardContextual"/>
      <w14:cntxtAlts/>
    </w:rPr>
  </w:style>
  <w:style w:type="character" w:customStyle="1" w:styleId="CitadestacadaCar">
    <w:name w:val="Cita destacada Car"/>
    <w:basedOn w:val="Fuentedeprrafopredeter"/>
    <w:link w:val="Citadestacada"/>
    <w:uiPriority w:val="30"/>
    <w:rPr>
      <w:rFonts w:asciiTheme="majorHAnsi" w:eastAsiaTheme="majorEastAsia" w:hAnsiTheme="majorHAnsi"/>
      <w:bCs/>
      <w:i/>
      <w:iCs/>
      <w:color w:val="FFFFFF" w:themeColor="background1"/>
      <w:sz w:val="24"/>
      <w:shd w:val="clear" w:color="auto" w:fill="6076B4" w:themeFill="accent1"/>
      <w:lang w:eastAsia="en-US" w:bidi="hi-IN"/>
      <w14:ligatures w14:val="standardContextual"/>
      <w14:cntxtAlts/>
    </w:rPr>
  </w:style>
  <w:style w:type="character" w:styleId="nfasissutil">
    <w:name w:val="Subtle Emphasis"/>
    <w:basedOn w:val="Fuentedeprrafopredeter"/>
    <w:uiPriority w:val="19"/>
    <w:qFormat/>
    <w:rPr>
      <w:i/>
      <w:iCs/>
      <w:color w:val="000000"/>
    </w:rPr>
  </w:style>
  <w:style w:type="character" w:styleId="nfasisintenso">
    <w:name w:val="Intense Emphasis"/>
    <w:basedOn w:val="Fuentedeprrafopredeter"/>
    <w:uiPriority w:val="21"/>
    <w:qFormat/>
    <w:rPr>
      <w:b/>
      <w:bCs/>
      <w:i/>
      <w:iCs/>
      <w:color w:val="000000"/>
    </w:rPr>
  </w:style>
  <w:style w:type="character" w:styleId="Referenciasutil">
    <w:name w:val="Subtle Reference"/>
    <w:basedOn w:val="Fuentedeprrafopredeter"/>
    <w:uiPriority w:val="31"/>
    <w:qFormat/>
    <w:rPr>
      <w:smallCaps/>
      <w:color w:val="000000"/>
      <w:u w:val="single"/>
    </w:rPr>
  </w:style>
  <w:style w:type="character" w:styleId="Referenciaintensa">
    <w:name w:val="Intense Reference"/>
    <w:basedOn w:val="Fuentedeprrafopredeter"/>
    <w:uiPriority w:val="32"/>
    <w:qFormat/>
    <w:rPr>
      <w:b/>
      <w:bCs/>
      <w:color w:val="000000"/>
      <w:spacing w:val="5"/>
      <w:u w:val="single"/>
    </w:rPr>
  </w:style>
  <w:style w:type="character" w:styleId="Ttulodellibro">
    <w:name w:val="Book Title"/>
    <w:basedOn w:val="Fuentedeprrafopredeter"/>
    <w:uiPriority w:val="33"/>
    <w:qFormat/>
    <w:rPr>
      <w:b/>
      <w:bCs/>
      <w:smallCaps/>
      <w:spacing w:val="10"/>
    </w:rPr>
  </w:style>
  <w:style w:type="paragraph" w:styleId="TDC1">
    <w:name w:val="toc 1"/>
    <w:basedOn w:val="Normal"/>
    <w:next w:val="Normal"/>
    <w:autoRedefine/>
    <w:uiPriority w:val="39"/>
    <w:semiHidden/>
    <w:unhideWhenUsed/>
    <w:pPr>
      <w:spacing w:after="100"/>
    </w:pPr>
    <w:rPr>
      <w:lang w:eastAsia="ja-JP"/>
    </w:rPr>
  </w:style>
  <w:style w:type="table" w:styleId="Tablaconcuadrcula">
    <w:name w:val="Table Grid"/>
    <w:basedOn w:val="Tablanormal"/>
    <w:uiPriority w:val="1"/>
    <w:pPr>
      <w:spacing w:after="0" w:line="240" w:lineRule="auto"/>
    </w:pPr>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Textodelmarcadordeposicin">
    <w:name w:val="Placeholder Text"/>
    <w:basedOn w:val="Fuentedeprrafopredeter"/>
    <w:uiPriority w:val="99"/>
    <w:semiHidden/>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ko-K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1"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basedOn w:val="Normal"/>
    <w:next w:val="Normal"/>
    <w:link w:val="Ttulo1Car"/>
    <w:uiPriority w:val="9"/>
    <w:qFormat/>
    <w:pPr>
      <w:keepNext/>
      <w:keepLines/>
      <w:spacing w:before="360" w:after="0" w:line="240" w:lineRule="auto"/>
      <w:outlineLvl w:val="0"/>
    </w:pPr>
    <w:rPr>
      <w:rFonts w:asciiTheme="majorHAnsi" w:eastAsiaTheme="majorEastAsia" w:hAnsiTheme="majorHAnsi" w:cstheme="majorBidi"/>
      <w:bCs/>
      <w:i/>
      <w:color w:val="6076B4" w:themeColor="accent1"/>
      <w:sz w:val="32"/>
      <w:szCs w:val="32"/>
      <w:lang w:eastAsia="en-US"/>
    </w:rPr>
  </w:style>
  <w:style w:type="paragraph" w:styleId="Ttulo2">
    <w:name w:val="heading 2"/>
    <w:basedOn w:val="Normal"/>
    <w:next w:val="Normal"/>
    <w:link w:val="Ttulo2Car"/>
    <w:uiPriority w:val="9"/>
    <w:semiHidden/>
    <w:unhideWhenUsed/>
    <w:qFormat/>
    <w:pPr>
      <w:keepNext/>
      <w:keepLines/>
      <w:spacing w:before="120" w:after="0" w:line="240" w:lineRule="auto"/>
      <w:outlineLvl w:val="1"/>
    </w:pPr>
    <w:rPr>
      <w:rFonts w:asciiTheme="majorHAnsi" w:eastAsiaTheme="majorEastAsia" w:hAnsiTheme="majorHAnsi" w:cstheme="majorBidi"/>
      <w:bCs/>
      <w:color w:val="2F5897" w:themeColor="text2"/>
      <w:sz w:val="28"/>
      <w:szCs w:val="26"/>
      <w:lang w:eastAsia="en-US"/>
    </w:rPr>
  </w:style>
  <w:style w:type="paragraph" w:styleId="Ttulo3">
    <w:name w:val="heading 3"/>
    <w:basedOn w:val="Normal"/>
    <w:next w:val="Normal"/>
    <w:link w:val="Ttulo3Car"/>
    <w:uiPriority w:val="9"/>
    <w:semiHidden/>
    <w:unhideWhenUsed/>
    <w:qFormat/>
    <w:pPr>
      <w:keepNext/>
      <w:keepLines/>
      <w:spacing w:before="20" w:after="0" w:line="240" w:lineRule="auto"/>
      <w:outlineLvl w:val="2"/>
    </w:pPr>
    <w:rPr>
      <w:rFonts w:asciiTheme="majorHAnsi" w:eastAsiaTheme="majorEastAsia" w:hAnsiTheme="majorHAnsi" w:cstheme="majorBidi"/>
      <w:bCs/>
      <w:i/>
      <w:color w:val="2F5897" w:themeColor="text2"/>
      <w:sz w:val="23"/>
      <w:lang w:eastAsia="en-US"/>
    </w:rPr>
  </w:style>
  <w:style w:type="paragraph" w:styleId="Ttulo4">
    <w:name w:val="heading 4"/>
    <w:basedOn w:val="Normal"/>
    <w:next w:val="Normal"/>
    <w:link w:val="Ttulo4Car"/>
    <w:uiPriority w:val="9"/>
    <w:semiHidden/>
    <w:unhideWhenUsed/>
    <w:qFormat/>
    <w:pPr>
      <w:keepNext/>
      <w:keepLines/>
      <w:spacing w:before="200" w:after="0" w:line="264" w:lineRule="auto"/>
      <w:outlineLvl w:val="3"/>
    </w:pPr>
    <w:rPr>
      <w:rFonts w:asciiTheme="majorHAnsi" w:eastAsiaTheme="majorEastAsia" w:hAnsiTheme="majorHAnsi" w:cstheme="majorBidi"/>
      <w:bCs/>
      <w:i/>
      <w:iCs/>
      <w:color w:val="2F5897" w:themeColor="text2"/>
      <w:sz w:val="23"/>
      <w:lang w:eastAsia="en-US"/>
    </w:rPr>
  </w:style>
  <w:style w:type="paragraph" w:styleId="Ttulo5">
    <w:name w:val="heading 5"/>
    <w:basedOn w:val="Normal"/>
    <w:next w:val="Normal"/>
    <w:link w:val="Ttulo5Car"/>
    <w:uiPriority w:val="9"/>
    <w:semiHidden/>
    <w:unhideWhenUsed/>
    <w:qFormat/>
    <w:pPr>
      <w:keepNext/>
      <w:keepLines/>
      <w:spacing w:before="200" w:after="0" w:line="264" w:lineRule="auto"/>
      <w:outlineLvl w:val="4"/>
    </w:pPr>
    <w:rPr>
      <w:rFonts w:asciiTheme="majorHAnsi" w:eastAsiaTheme="majorEastAsia" w:hAnsiTheme="majorHAnsi" w:cstheme="majorBidi"/>
      <w:color w:val="2F5897" w:themeColor="text2"/>
      <w:lang w:eastAsia="en-US"/>
    </w:rPr>
  </w:style>
  <w:style w:type="paragraph" w:styleId="Ttulo6">
    <w:name w:val="heading 6"/>
    <w:basedOn w:val="Normal"/>
    <w:next w:val="Normal"/>
    <w:link w:val="Ttulo6Car"/>
    <w:uiPriority w:val="9"/>
    <w:semiHidden/>
    <w:unhideWhenUsed/>
    <w:qFormat/>
    <w:pPr>
      <w:keepNext/>
      <w:keepLines/>
      <w:spacing w:before="200" w:after="0" w:line="264" w:lineRule="auto"/>
      <w:outlineLvl w:val="5"/>
    </w:pPr>
    <w:rPr>
      <w:rFonts w:asciiTheme="majorHAnsi" w:eastAsiaTheme="majorEastAsia" w:hAnsiTheme="majorHAnsi" w:cstheme="majorBidi"/>
      <w:i/>
      <w:iCs/>
      <w:color w:val="2F5897" w:themeColor="text2"/>
      <w:sz w:val="21"/>
      <w:lang w:eastAsia="en-US"/>
    </w:rPr>
  </w:style>
  <w:style w:type="paragraph" w:styleId="Ttulo7">
    <w:name w:val="heading 7"/>
    <w:basedOn w:val="Normal"/>
    <w:next w:val="Normal"/>
    <w:link w:val="Ttulo7Car"/>
    <w:uiPriority w:val="9"/>
    <w:semiHidden/>
    <w:unhideWhenUsed/>
    <w:qFormat/>
    <w:pPr>
      <w:keepNext/>
      <w:keepLines/>
      <w:spacing w:before="200" w:after="0" w:line="264" w:lineRule="auto"/>
      <w:outlineLvl w:val="6"/>
    </w:pPr>
    <w:rPr>
      <w:rFonts w:asciiTheme="majorHAnsi" w:eastAsiaTheme="majorEastAsia" w:hAnsiTheme="majorHAnsi" w:cstheme="majorBidi"/>
      <w:i/>
      <w:iCs/>
      <w:color w:val="000000" w:themeColor="text1"/>
      <w:sz w:val="21"/>
      <w:lang w:eastAsia="en-US"/>
    </w:rPr>
  </w:style>
  <w:style w:type="paragraph" w:styleId="Ttulo8">
    <w:name w:val="heading 8"/>
    <w:basedOn w:val="Normal"/>
    <w:next w:val="Normal"/>
    <w:link w:val="Ttulo8Car"/>
    <w:uiPriority w:val="9"/>
    <w:semiHidden/>
    <w:unhideWhenUsed/>
    <w:qFormat/>
    <w:pPr>
      <w:keepNext/>
      <w:keepLines/>
      <w:spacing w:before="200" w:after="0" w:line="264" w:lineRule="auto"/>
      <w:outlineLvl w:val="7"/>
    </w:pPr>
    <w:rPr>
      <w:rFonts w:asciiTheme="majorHAnsi" w:eastAsiaTheme="majorEastAsia" w:hAnsiTheme="majorHAnsi" w:cstheme="majorBidi"/>
      <w:color w:val="000000" w:themeColor="text1"/>
      <w:sz w:val="20"/>
      <w:szCs w:val="20"/>
      <w:lang w:eastAsia="en-US"/>
    </w:rPr>
  </w:style>
  <w:style w:type="paragraph" w:styleId="Ttulo9">
    <w:name w:val="heading 9"/>
    <w:basedOn w:val="Normal"/>
    <w:next w:val="Normal"/>
    <w:link w:val="Ttulo9Car"/>
    <w:uiPriority w:val="9"/>
    <w:semiHidden/>
    <w:unhideWhenUsed/>
    <w:qFormat/>
    <w:pPr>
      <w:keepNext/>
      <w:keepLines/>
      <w:spacing w:before="200" w:after="0" w:line="264" w:lineRule="auto"/>
      <w:outlineLvl w:val="8"/>
    </w:pPr>
    <w:rPr>
      <w:rFonts w:asciiTheme="majorHAnsi" w:eastAsiaTheme="majorEastAsia" w:hAnsiTheme="majorHAnsi" w:cstheme="majorBidi"/>
      <w:i/>
      <w:iCs/>
      <w:color w:val="000000" w:themeColor="text1"/>
      <w:sz w:val="20"/>
      <w:szCs w:val="20"/>
      <w:lang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Pr>
      <w:rFonts w:asciiTheme="majorHAnsi" w:eastAsiaTheme="majorEastAsia" w:hAnsiTheme="majorHAnsi" w:cstheme="majorBidi"/>
      <w:bCs/>
      <w:i/>
      <w:color w:val="6076B4" w:themeColor="accent1"/>
      <w:sz w:val="32"/>
      <w:szCs w:val="32"/>
      <w:lang w:eastAsia="en-US"/>
    </w:rPr>
  </w:style>
  <w:style w:type="paragraph" w:styleId="Subttulo">
    <w:name w:val="Subtitle"/>
    <w:basedOn w:val="Normal"/>
    <w:next w:val="Normal"/>
    <w:link w:val="SubttuloCar"/>
    <w:uiPriority w:val="11"/>
    <w:qFormat/>
    <w:pPr>
      <w:numPr>
        <w:ilvl w:val="1"/>
      </w:numPr>
    </w:pPr>
    <w:rPr>
      <w:rFonts w:eastAsiaTheme="majorEastAsia" w:cstheme="majorBidi"/>
      <w:iCs/>
      <w:color w:val="000000" w:themeColor="text1"/>
      <w:spacing w:val="15"/>
      <w:sz w:val="24"/>
      <w:szCs w:val="24"/>
    </w:rPr>
  </w:style>
  <w:style w:type="character" w:customStyle="1" w:styleId="SubttuloCar">
    <w:name w:val="Subtítulo Car"/>
    <w:basedOn w:val="Fuentedeprrafopredeter"/>
    <w:link w:val="Subttulo"/>
    <w:uiPriority w:val="11"/>
    <w:rPr>
      <w:rFonts w:eastAsiaTheme="majorEastAsia" w:cstheme="majorBidi"/>
      <w:iCs/>
      <w:color w:val="000000" w:themeColor="text1"/>
      <w:spacing w:val="15"/>
      <w:sz w:val="24"/>
      <w:szCs w:val="24"/>
    </w:rPr>
  </w:style>
  <w:style w:type="paragraph" w:styleId="Textodeglobo">
    <w:name w:val="Balloon Text"/>
    <w:basedOn w:val="Normal"/>
    <w:link w:val="TextodegloboCar"/>
    <w:uiPriority w:val="99"/>
    <w:semiHidden/>
    <w:unhideWhenUsed/>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Pr>
      <w:rFonts w:ascii="Tahoma" w:hAnsi="Tahoma" w:cs="Tahoma"/>
      <w:sz w:val="16"/>
      <w:szCs w:val="16"/>
      <w:lang w:eastAsia="ja-JP"/>
    </w:rPr>
  </w:style>
  <w:style w:type="character" w:customStyle="1" w:styleId="Ttulo2Car">
    <w:name w:val="Título 2 Car"/>
    <w:basedOn w:val="Fuentedeprrafopredeter"/>
    <w:link w:val="Ttulo2"/>
    <w:uiPriority w:val="9"/>
    <w:semiHidden/>
    <w:rPr>
      <w:rFonts w:asciiTheme="majorHAnsi" w:eastAsiaTheme="majorEastAsia" w:hAnsiTheme="majorHAnsi" w:cstheme="majorBidi"/>
      <w:bCs/>
      <w:color w:val="2F5897" w:themeColor="text2"/>
      <w:sz w:val="28"/>
      <w:szCs w:val="26"/>
      <w:lang w:eastAsia="en-US"/>
    </w:rPr>
  </w:style>
  <w:style w:type="character" w:customStyle="1" w:styleId="Ttulo3Car">
    <w:name w:val="Título 3 Car"/>
    <w:basedOn w:val="Fuentedeprrafopredeter"/>
    <w:link w:val="Ttulo3"/>
    <w:uiPriority w:val="9"/>
    <w:semiHidden/>
    <w:rPr>
      <w:rFonts w:asciiTheme="majorHAnsi" w:eastAsiaTheme="majorEastAsia" w:hAnsiTheme="majorHAnsi" w:cstheme="majorBidi"/>
      <w:bCs/>
      <w:i/>
      <w:color w:val="2F5897" w:themeColor="text2"/>
      <w:sz w:val="23"/>
      <w:lang w:eastAsia="en-US"/>
    </w:rPr>
  </w:style>
  <w:style w:type="character" w:customStyle="1" w:styleId="Ttulo4Car">
    <w:name w:val="Título 4 Car"/>
    <w:basedOn w:val="Fuentedeprrafopredeter"/>
    <w:link w:val="Ttulo4"/>
    <w:uiPriority w:val="9"/>
    <w:semiHidden/>
    <w:rPr>
      <w:rFonts w:asciiTheme="majorHAnsi" w:eastAsiaTheme="majorEastAsia" w:hAnsiTheme="majorHAnsi" w:cstheme="majorBidi"/>
      <w:bCs/>
      <w:i/>
      <w:iCs/>
      <w:color w:val="2F5897" w:themeColor="text2"/>
      <w:sz w:val="23"/>
      <w:lang w:eastAsia="en-US"/>
    </w:rPr>
  </w:style>
  <w:style w:type="character" w:customStyle="1" w:styleId="Ttulo5Car">
    <w:name w:val="Título 5 Car"/>
    <w:basedOn w:val="Fuentedeprrafopredeter"/>
    <w:link w:val="Ttulo5"/>
    <w:uiPriority w:val="9"/>
    <w:semiHidden/>
    <w:rPr>
      <w:rFonts w:asciiTheme="majorHAnsi" w:eastAsiaTheme="majorEastAsia" w:hAnsiTheme="majorHAnsi" w:cstheme="majorBidi"/>
      <w:color w:val="2F5897" w:themeColor="text2"/>
      <w:lang w:eastAsia="en-US"/>
    </w:rPr>
  </w:style>
  <w:style w:type="character" w:customStyle="1" w:styleId="Ttulo6Car">
    <w:name w:val="Título 6 Car"/>
    <w:basedOn w:val="Fuentedeprrafopredeter"/>
    <w:link w:val="Ttulo6"/>
    <w:uiPriority w:val="9"/>
    <w:semiHidden/>
    <w:rPr>
      <w:rFonts w:asciiTheme="majorHAnsi" w:eastAsiaTheme="majorEastAsia" w:hAnsiTheme="majorHAnsi" w:cstheme="majorBidi"/>
      <w:i/>
      <w:iCs/>
      <w:color w:val="2F5897" w:themeColor="text2"/>
      <w:sz w:val="21"/>
      <w:lang w:eastAsia="en-US"/>
    </w:rPr>
  </w:style>
  <w:style w:type="character" w:customStyle="1" w:styleId="Ttulo7Car">
    <w:name w:val="Título 7 Car"/>
    <w:basedOn w:val="Fuentedeprrafopredeter"/>
    <w:link w:val="Ttulo7"/>
    <w:uiPriority w:val="9"/>
    <w:semiHidden/>
    <w:rPr>
      <w:rFonts w:asciiTheme="majorHAnsi" w:eastAsiaTheme="majorEastAsia" w:hAnsiTheme="majorHAnsi" w:cstheme="majorBidi"/>
      <w:i/>
      <w:iCs/>
      <w:color w:val="000000" w:themeColor="text1"/>
      <w:sz w:val="21"/>
      <w:lang w:eastAsia="en-US"/>
    </w:rPr>
  </w:style>
  <w:style w:type="character" w:customStyle="1" w:styleId="Ttulo8Car">
    <w:name w:val="Título 8 Car"/>
    <w:basedOn w:val="Fuentedeprrafopredeter"/>
    <w:link w:val="Ttulo8"/>
    <w:uiPriority w:val="9"/>
    <w:semiHidden/>
    <w:rPr>
      <w:rFonts w:asciiTheme="majorHAnsi" w:eastAsiaTheme="majorEastAsia" w:hAnsiTheme="majorHAnsi" w:cstheme="majorBidi"/>
      <w:color w:val="000000" w:themeColor="text1"/>
      <w:sz w:val="20"/>
      <w:szCs w:val="20"/>
      <w:lang w:eastAsia="en-US"/>
    </w:rPr>
  </w:style>
  <w:style w:type="character" w:customStyle="1" w:styleId="Ttulo9Car">
    <w:name w:val="Título 9 Car"/>
    <w:basedOn w:val="Fuentedeprrafopredeter"/>
    <w:link w:val="Ttulo9"/>
    <w:uiPriority w:val="9"/>
    <w:semiHidden/>
    <w:rPr>
      <w:rFonts w:asciiTheme="majorHAnsi" w:eastAsiaTheme="majorEastAsia" w:hAnsiTheme="majorHAnsi" w:cstheme="majorBidi"/>
      <w:i/>
      <w:iCs/>
      <w:color w:val="000000" w:themeColor="text1"/>
      <w:sz w:val="20"/>
      <w:szCs w:val="20"/>
      <w:lang w:eastAsia="en-US"/>
    </w:rPr>
  </w:style>
  <w:style w:type="paragraph" w:styleId="Epgrafe">
    <w:name w:val="caption"/>
    <w:basedOn w:val="Normal"/>
    <w:next w:val="Normal"/>
    <w:uiPriority w:val="35"/>
    <w:semiHidden/>
    <w:unhideWhenUsed/>
    <w:qFormat/>
    <w:pPr>
      <w:spacing w:line="240" w:lineRule="auto"/>
    </w:pPr>
    <w:rPr>
      <w:b/>
      <w:bCs/>
      <w:color w:val="2F5897" w:themeColor="text2"/>
      <w:sz w:val="18"/>
      <w:szCs w:val="18"/>
    </w:rPr>
  </w:style>
  <w:style w:type="paragraph" w:styleId="Ttulo">
    <w:name w:val="Title"/>
    <w:basedOn w:val="Normal"/>
    <w:next w:val="Normal"/>
    <w:link w:val="TtuloCar"/>
    <w:uiPriority w:val="10"/>
    <w:qFormat/>
    <w:pPr>
      <w:spacing w:after="300" w:line="240" w:lineRule="auto"/>
      <w:contextualSpacing/>
    </w:pPr>
    <w:rPr>
      <w:rFonts w:asciiTheme="majorHAnsi" w:eastAsiaTheme="majorEastAsia" w:hAnsiTheme="majorHAnsi" w:cstheme="majorBidi"/>
      <w:color w:val="2F5897" w:themeColor="text2"/>
      <w:spacing w:val="5"/>
      <w:kern w:val="28"/>
      <w:sz w:val="60"/>
      <w:szCs w:val="56"/>
      <w14:ligatures w14:val="standardContextual"/>
      <w14:cntxtAlts/>
    </w:rPr>
  </w:style>
  <w:style w:type="character" w:customStyle="1" w:styleId="TtuloCar">
    <w:name w:val="Título Car"/>
    <w:basedOn w:val="Fuentedeprrafopredeter"/>
    <w:link w:val="Ttulo"/>
    <w:uiPriority w:val="10"/>
    <w:rPr>
      <w:rFonts w:asciiTheme="majorHAnsi" w:eastAsiaTheme="majorEastAsia" w:hAnsiTheme="majorHAnsi" w:cstheme="majorBidi"/>
      <w:color w:val="2F5897" w:themeColor="text2"/>
      <w:spacing w:val="5"/>
      <w:kern w:val="28"/>
      <w:sz w:val="60"/>
      <w:szCs w:val="56"/>
      <w14:ligatures w14:val="standardContextual"/>
      <w14:cntxtAlts/>
    </w:rPr>
  </w:style>
  <w:style w:type="character" w:styleId="Textoennegrita">
    <w:name w:val="Strong"/>
    <w:basedOn w:val="Fuentedeprrafopredeter"/>
    <w:uiPriority w:val="22"/>
    <w:qFormat/>
    <w:rPr>
      <w:b/>
      <w:bCs/>
    </w:rPr>
  </w:style>
  <w:style w:type="character" w:styleId="nfasis">
    <w:name w:val="Emphasis"/>
    <w:basedOn w:val="Fuentedeprrafopredeter"/>
    <w:uiPriority w:val="20"/>
    <w:qFormat/>
    <w:rPr>
      <w:i/>
      <w:iCs/>
      <w:color w:val="000000"/>
    </w:rPr>
  </w:style>
  <w:style w:type="paragraph" w:styleId="Sinespaciado">
    <w:name w:val="No Spacing"/>
    <w:link w:val="SinespaciadoCar"/>
    <w:uiPriority w:val="1"/>
    <w:qFormat/>
    <w:pPr>
      <w:spacing w:after="0" w:line="240" w:lineRule="auto"/>
    </w:pPr>
    <w:rPr>
      <w:lang w:eastAsia="en-US"/>
    </w:rPr>
  </w:style>
  <w:style w:type="character" w:customStyle="1" w:styleId="SinespaciadoCar">
    <w:name w:val="Sin espaciado Car"/>
    <w:basedOn w:val="Fuentedeprrafopredeter"/>
    <w:link w:val="Sinespaciado"/>
    <w:uiPriority w:val="1"/>
    <w:rPr>
      <w:lang w:eastAsia="en-US"/>
    </w:rPr>
  </w:style>
  <w:style w:type="paragraph" w:styleId="Prrafodelista">
    <w:name w:val="List Paragraph"/>
    <w:basedOn w:val="Normal"/>
    <w:uiPriority w:val="34"/>
    <w:qFormat/>
    <w:pPr>
      <w:spacing w:after="160" w:line="240" w:lineRule="auto"/>
      <w:ind w:left="1008" w:hanging="288"/>
      <w:contextualSpacing/>
    </w:pPr>
    <w:rPr>
      <w:rFonts w:eastAsiaTheme="minorHAnsi"/>
      <w:sz w:val="21"/>
      <w:lang w:eastAsia="en-US"/>
    </w:rPr>
  </w:style>
  <w:style w:type="paragraph" w:styleId="Cita">
    <w:name w:val="Quote"/>
    <w:basedOn w:val="Normal"/>
    <w:next w:val="Normal"/>
    <w:link w:val="CitaCar"/>
    <w:uiPriority w:val="29"/>
    <w:qFormat/>
    <w:pPr>
      <w:spacing w:before="160" w:after="160" w:line="300" w:lineRule="auto"/>
      <w:ind w:left="144" w:right="144"/>
      <w:jc w:val="center"/>
    </w:pPr>
    <w:rPr>
      <w:rFonts w:asciiTheme="majorHAnsi" w:hAnsiTheme="majorHAnsi"/>
      <w:i/>
      <w:iCs/>
      <w:color w:val="6076B4" w:themeColor="accent1"/>
      <w:sz w:val="24"/>
      <w:lang w:eastAsia="en-US" w:bidi="hi-IN"/>
    </w:rPr>
  </w:style>
  <w:style w:type="character" w:customStyle="1" w:styleId="CitaCar">
    <w:name w:val="Cita Car"/>
    <w:basedOn w:val="Fuentedeprrafopredeter"/>
    <w:link w:val="Cita"/>
    <w:uiPriority w:val="29"/>
    <w:rPr>
      <w:rFonts w:asciiTheme="majorHAnsi" w:hAnsiTheme="majorHAnsi"/>
      <w:i/>
      <w:iCs/>
      <w:color w:val="6076B4" w:themeColor="accent1"/>
      <w:sz w:val="24"/>
      <w:lang w:eastAsia="en-US" w:bidi="hi-IN"/>
    </w:rPr>
  </w:style>
  <w:style w:type="paragraph" w:styleId="Citadestacada">
    <w:name w:val="Intense Quote"/>
    <w:basedOn w:val="Normal"/>
    <w:next w:val="Normal"/>
    <w:link w:val="CitadestacadaCar"/>
    <w:uiPriority w:val="30"/>
    <w:qFormat/>
    <w:pPr>
      <w:pBdr>
        <w:top w:val="single" w:sz="36" w:space="8" w:color="6076B4" w:themeColor="accent1"/>
        <w:left w:val="single" w:sz="36" w:space="8" w:color="6076B4" w:themeColor="accent1"/>
        <w:bottom w:val="single" w:sz="36" w:space="8" w:color="6076B4" w:themeColor="accent1"/>
        <w:right w:val="single" w:sz="36" w:space="8" w:color="6076B4" w:themeColor="accent1"/>
      </w:pBdr>
      <w:shd w:val="clear" w:color="auto" w:fill="6076B4" w:themeFill="accent1"/>
      <w:spacing w:before="200" w:after="280" w:line="300" w:lineRule="auto"/>
      <w:ind w:left="936" w:right="936"/>
      <w:jc w:val="center"/>
    </w:pPr>
    <w:rPr>
      <w:rFonts w:asciiTheme="majorHAnsi" w:eastAsiaTheme="majorEastAsia" w:hAnsiTheme="majorHAnsi"/>
      <w:bCs/>
      <w:i/>
      <w:iCs/>
      <w:color w:val="FFFFFF" w:themeColor="background1"/>
      <w:sz w:val="24"/>
      <w:lang w:eastAsia="en-US" w:bidi="hi-IN"/>
      <w14:ligatures w14:val="standardContextual"/>
      <w14:cntxtAlts/>
    </w:rPr>
  </w:style>
  <w:style w:type="character" w:customStyle="1" w:styleId="CitadestacadaCar">
    <w:name w:val="Cita destacada Car"/>
    <w:basedOn w:val="Fuentedeprrafopredeter"/>
    <w:link w:val="Citadestacada"/>
    <w:uiPriority w:val="30"/>
    <w:rPr>
      <w:rFonts w:asciiTheme="majorHAnsi" w:eastAsiaTheme="majorEastAsia" w:hAnsiTheme="majorHAnsi"/>
      <w:bCs/>
      <w:i/>
      <w:iCs/>
      <w:color w:val="FFFFFF" w:themeColor="background1"/>
      <w:sz w:val="24"/>
      <w:shd w:val="clear" w:color="auto" w:fill="6076B4" w:themeFill="accent1"/>
      <w:lang w:eastAsia="en-US" w:bidi="hi-IN"/>
      <w14:ligatures w14:val="standardContextual"/>
      <w14:cntxtAlts/>
    </w:rPr>
  </w:style>
  <w:style w:type="character" w:styleId="nfasissutil">
    <w:name w:val="Subtle Emphasis"/>
    <w:basedOn w:val="Fuentedeprrafopredeter"/>
    <w:uiPriority w:val="19"/>
    <w:qFormat/>
    <w:rPr>
      <w:i/>
      <w:iCs/>
      <w:color w:val="000000"/>
    </w:rPr>
  </w:style>
  <w:style w:type="character" w:styleId="nfasisintenso">
    <w:name w:val="Intense Emphasis"/>
    <w:basedOn w:val="Fuentedeprrafopredeter"/>
    <w:uiPriority w:val="21"/>
    <w:qFormat/>
    <w:rPr>
      <w:b/>
      <w:bCs/>
      <w:i/>
      <w:iCs/>
      <w:color w:val="000000"/>
    </w:rPr>
  </w:style>
  <w:style w:type="character" w:styleId="Referenciasutil">
    <w:name w:val="Subtle Reference"/>
    <w:basedOn w:val="Fuentedeprrafopredeter"/>
    <w:uiPriority w:val="31"/>
    <w:qFormat/>
    <w:rPr>
      <w:smallCaps/>
      <w:color w:val="000000"/>
      <w:u w:val="single"/>
    </w:rPr>
  </w:style>
  <w:style w:type="character" w:styleId="Referenciaintensa">
    <w:name w:val="Intense Reference"/>
    <w:basedOn w:val="Fuentedeprrafopredeter"/>
    <w:uiPriority w:val="32"/>
    <w:qFormat/>
    <w:rPr>
      <w:b/>
      <w:bCs/>
      <w:color w:val="000000"/>
      <w:spacing w:val="5"/>
      <w:u w:val="single"/>
    </w:rPr>
  </w:style>
  <w:style w:type="character" w:styleId="Ttulodellibro">
    <w:name w:val="Book Title"/>
    <w:basedOn w:val="Fuentedeprrafopredeter"/>
    <w:uiPriority w:val="33"/>
    <w:qFormat/>
    <w:rPr>
      <w:b/>
      <w:bCs/>
      <w:smallCaps/>
      <w:spacing w:val="10"/>
    </w:rPr>
  </w:style>
  <w:style w:type="paragraph" w:styleId="TDC1">
    <w:name w:val="toc 1"/>
    <w:basedOn w:val="Normal"/>
    <w:next w:val="Normal"/>
    <w:autoRedefine/>
    <w:uiPriority w:val="39"/>
    <w:semiHidden/>
    <w:unhideWhenUsed/>
    <w:pPr>
      <w:spacing w:after="100"/>
    </w:pPr>
    <w:rPr>
      <w:lang w:eastAsia="ja-JP"/>
    </w:rPr>
  </w:style>
  <w:style w:type="table" w:styleId="Tablaconcuadrcula">
    <w:name w:val="Table Grid"/>
    <w:basedOn w:val="Tablanormal"/>
    <w:uiPriority w:val="1"/>
    <w:pPr>
      <w:spacing w:after="0" w:line="240" w:lineRule="auto"/>
    </w:pPr>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Textodelmarcadordeposicin">
    <w:name w:val="Placeholder Text"/>
    <w:basedOn w:val="Fuentedeprrafopredeter"/>
    <w:uiPriority w:val="99"/>
    <w:semiHidden/>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39734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http://www.nexia.com/assets/images/1_Home/1_Masthead/nexia-logo-retina.png" TargetMode="Externa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media/image6.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5.jpeg"/><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4.jpeg"/><Relationship Id="rId4" Type="http://schemas.openxmlformats.org/officeDocument/2006/relationships/styles" Target="styles.xml"/><Relationship Id="rId9" Type="http://schemas.openxmlformats.org/officeDocument/2006/relationships/image" Target="media/image3.jpeg"/><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liana\AppData\Roaming\Microsoft\Templates\ExecutiveNewsletter.dotx" TargetMode="External"/></Relationships>
</file>

<file path=word/theme/_rels/theme1.xml.rels><?xml version="1.0" encoding="UTF-8" standalone="yes"?>
<Relationships xmlns="http://schemas.openxmlformats.org/package/2006/relationships"><Relationship Id="rId1" Type="http://schemas.openxmlformats.org/officeDocument/2006/relationships/image" Target="../media/image7.jpeg"/></Relationships>
</file>

<file path=word/theme/theme1.xml><?xml version="1.0" encoding="utf-8"?>
<a:theme xmlns:a="http://schemas.openxmlformats.org/drawingml/2006/main" name="Executive">
  <a:themeElements>
    <a:clrScheme name="Executive">
      <a:dk1>
        <a:sysClr val="windowText" lastClr="000000"/>
      </a:dk1>
      <a:lt1>
        <a:sysClr val="window" lastClr="FFFFFF"/>
      </a:lt1>
      <a:dk2>
        <a:srgbClr val="2F5897"/>
      </a:dk2>
      <a:lt2>
        <a:srgbClr val="E4E9EF"/>
      </a:lt2>
      <a:accent1>
        <a:srgbClr val="6076B4"/>
      </a:accent1>
      <a:accent2>
        <a:srgbClr val="9C5252"/>
      </a:accent2>
      <a:accent3>
        <a:srgbClr val="E68422"/>
      </a:accent3>
      <a:accent4>
        <a:srgbClr val="846648"/>
      </a:accent4>
      <a:accent5>
        <a:srgbClr val="63891F"/>
      </a:accent5>
      <a:accent6>
        <a:srgbClr val="758085"/>
      </a:accent6>
      <a:hlink>
        <a:srgbClr val="3399FF"/>
      </a:hlink>
      <a:folHlink>
        <a:srgbClr val="B2B2B2"/>
      </a:folHlink>
    </a:clrScheme>
    <a:fontScheme name="Executive">
      <a:majorFont>
        <a:latin typeface="Century Gothic"/>
        <a:ea typeface=""/>
        <a:cs typeface=""/>
        <a:font script="Jpan" typeface="HGｺﾞｼｯｸM"/>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Palatino Linotype"/>
        <a:ea typeface=""/>
        <a:cs typeface=""/>
        <a:font script="Jpan" typeface="HGS明朝E"/>
        <a:font script="Hang" typeface="맑은 고딕"/>
        <a:font script="Hans" typeface="宋体"/>
        <a:font script="Hant" typeface="新細明體"/>
        <a:font script="Arab" typeface="Times New Roman"/>
        <a:font script="Hebr" typeface="Times New Roman"/>
        <a:font script="Thai" typeface="Browalli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Executiv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8575" cap="flat" cmpd="sng" algn="ctr">
          <a:solidFill>
            <a:schemeClr val="phClr"/>
          </a:solidFill>
          <a:prstDash val="solid"/>
        </a:ln>
        <a:ln w="508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50000">
              <a:schemeClr val="phClr">
                <a:tint val="80000"/>
                <a:satMod val="250000"/>
              </a:schemeClr>
            </a:gs>
            <a:gs pos="76000">
              <a:schemeClr val="phClr">
                <a:tint val="90000"/>
                <a:shade val="90000"/>
                <a:satMod val="200000"/>
              </a:schemeClr>
            </a:gs>
            <a:gs pos="92000">
              <a:schemeClr val="phClr">
                <a:tint val="90000"/>
                <a:shade val="70000"/>
                <a:satMod val="250000"/>
              </a:schemeClr>
            </a:gs>
          </a:gsLst>
          <a:path path="circle">
            <a:fillToRect l="50000" t="50000" r="50000" b="50000"/>
          </a:path>
        </a:gradFill>
        <a:blipFill>
          <a:blip xmlns:r="http://schemas.openxmlformats.org/officeDocument/2006/relationships" r:embed="rId1">
            <a:duotone>
              <a:schemeClr val="phClr">
                <a:tint val="95000"/>
              </a:schemeClr>
              <a:schemeClr val="phClr">
                <a:shade val="90000"/>
              </a:schemeClr>
            </a:duotone>
          </a:blip>
          <a:tile tx="0" ty="0" sx="100000" sy="100000" flip="none" algn="tl"/>
        </a:blip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so-contentType ?>
<FormTemplates xmlns="http://schemas.microsoft.com/sharepoint/v3/contenttype/forms">
  <Display>DocumentLibraryForm</Display>
  <Edit>AssetEditForm</Edit>
  <New>DocumentLibraryForm</New>
</FormTemplates>
</file>

<file path=customXml/item2.xml><?xml version="1.0" encoding="utf-8"?>
<b:Sources xmlns:b="http://schemas.openxmlformats.org/officeDocument/2006/bibliography" SelectedStyle="\APA.XSL" StyleName="APA"/>
</file>

<file path=customXml/itemProps1.xml><?xml version="1.0" encoding="utf-8"?>
<ds:datastoreItem xmlns:ds="http://schemas.openxmlformats.org/officeDocument/2006/customXml" ds:itemID="{06C613A5-8D02-4CA4-90EF-A22EA37BE049}">
  <ds:schemaRefs>
    <ds:schemaRef ds:uri="http://schemas.microsoft.com/sharepoint/v3/contenttype/forms"/>
  </ds:schemaRefs>
</ds:datastoreItem>
</file>

<file path=customXml/itemProps2.xml><?xml version="1.0" encoding="utf-8"?>
<ds:datastoreItem xmlns:ds="http://schemas.openxmlformats.org/officeDocument/2006/customXml" ds:itemID="{41369721-560B-4C30-8378-F4821749A7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ExecutiveNewsletter</Template>
  <TotalTime>1</TotalTime>
  <Pages>5</Pages>
  <Words>3832</Words>
  <Characters>21080</Characters>
  <Application>Microsoft Office Word</Application>
  <DocSecurity>0</DocSecurity>
  <Lines>175</Lines>
  <Paragraphs>49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24863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Liliana</dc:creator>
  <cp:lastModifiedBy>NILO</cp:lastModifiedBy>
  <cp:revision>2</cp:revision>
  <cp:lastPrinted>2016-02-22T19:37:00Z</cp:lastPrinted>
  <dcterms:created xsi:type="dcterms:W3CDTF">2016-03-21T16:08:00Z</dcterms:created>
  <dcterms:modified xsi:type="dcterms:W3CDTF">2016-03-21T16:08:00Z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TC017730579991</vt:lpwstr>
  </property>
</Properties>
</file>